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4961"/>
      </w:tblGrid>
      <w:tr w:rsidR="006D18CA" w:rsidRPr="00CE595C" w:rsidTr="006004FA">
        <w:trPr>
          <w:trHeight w:val="1070"/>
        </w:trPr>
        <w:tc>
          <w:tcPr>
            <w:tcW w:w="5070" w:type="dxa"/>
            <w:tcBorders>
              <w:top w:val="nil"/>
              <w:left w:val="nil"/>
              <w:bottom w:val="nil"/>
            </w:tcBorders>
          </w:tcPr>
          <w:p w:rsidR="00A672ED" w:rsidRPr="00CE595C" w:rsidRDefault="00A672ED" w:rsidP="009724F0">
            <w:pPr>
              <w:spacing w:after="0" w:line="240" w:lineRule="auto"/>
              <w:jc w:val="left"/>
              <w:rPr>
                <w:color w:val="729BC8"/>
                <w:sz w:val="14"/>
                <w:szCs w:val="14"/>
                <w:lang w:val="nl-BE"/>
              </w:rPr>
            </w:pPr>
          </w:p>
          <w:p w:rsidR="006D18CA" w:rsidRPr="00CE595C" w:rsidRDefault="006D18CA" w:rsidP="00002225">
            <w:pPr>
              <w:spacing w:after="0" w:line="240" w:lineRule="auto"/>
              <w:jc w:val="left"/>
              <w:rPr>
                <w:lang w:val="nl-BE"/>
              </w:rPr>
            </w:pPr>
          </w:p>
        </w:tc>
        <w:tc>
          <w:tcPr>
            <w:tcW w:w="4961" w:type="dxa"/>
            <w:tcBorders>
              <w:top w:val="nil"/>
              <w:bottom w:val="nil"/>
              <w:right w:val="nil"/>
            </w:tcBorders>
          </w:tcPr>
          <w:p w:rsidR="006D18CA" w:rsidRPr="00CE595C" w:rsidRDefault="006D18CA" w:rsidP="009724F0">
            <w:pPr>
              <w:spacing w:after="0" w:line="240" w:lineRule="auto"/>
              <w:ind w:left="34"/>
              <w:jc w:val="left"/>
              <w:rPr>
                <w:szCs w:val="18"/>
                <w:lang w:val="nl-BE"/>
              </w:rPr>
            </w:pPr>
          </w:p>
        </w:tc>
      </w:tr>
    </w:tbl>
    <w:p w:rsidR="00950A8D" w:rsidRPr="00CE595C" w:rsidRDefault="00251011" w:rsidP="00950A8D">
      <w:pPr>
        <w:pStyle w:val="Titel"/>
        <w:spacing w:after="0"/>
        <w:rPr>
          <w:rFonts w:eastAsia="Times New Roman"/>
          <w:color w:val="262626"/>
          <w:spacing w:val="0"/>
          <w:kern w:val="0"/>
          <w:sz w:val="20"/>
          <w:szCs w:val="20"/>
          <w:lang w:val="nl-BE"/>
        </w:rPr>
      </w:pPr>
      <w:bookmarkStart w:id="0" w:name="_GoBack"/>
      <w:bookmarkEnd w:id="0"/>
      <w:r w:rsidRPr="00CE595C">
        <w:rPr>
          <w:rFonts w:eastAsia="Times New Roman"/>
          <w:color w:val="262626"/>
          <w:spacing w:val="0"/>
          <w:kern w:val="0"/>
          <w:sz w:val="20"/>
          <w:szCs w:val="20"/>
          <w:lang w:val="nl-BE"/>
        </w:rPr>
        <w:t>Nationale type II wijzigingen aan module 3</w:t>
      </w:r>
      <w:r w:rsidR="00950A8D" w:rsidRPr="00CE595C">
        <w:rPr>
          <w:rFonts w:eastAsia="Times New Roman"/>
          <w:color w:val="262626"/>
          <w:spacing w:val="0"/>
          <w:kern w:val="0"/>
          <w:sz w:val="20"/>
          <w:szCs w:val="20"/>
          <w:lang w:val="nl-BE"/>
        </w:rPr>
        <w:t xml:space="preserve">: </w:t>
      </w:r>
      <w:r w:rsidRPr="00CE595C">
        <w:rPr>
          <w:rFonts w:eastAsia="Times New Roman"/>
          <w:color w:val="262626"/>
          <w:spacing w:val="0"/>
          <w:kern w:val="0"/>
          <w:sz w:val="20"/>
          <w:szCs w:val="20"/>
          <w:lang w:val="nl-BE"/>
        </w:rPr>
        <w:t>Toelichting bij de beoordelingsstrategie</w:t>
      </w:r>
    </w:p>
    <w:p w:rsidR="00950A8D" w:rsidRPr="00CE595C" w:rsidRDefault="00950A8D" w:rsidP="00950A8D">
      <w:pPr>
        <w:pStyle w:val="Titel"/>
        <w:spacing w:after="0"/>
        <w:rPr>
          <w:rFonts w:eastAsia="Times New Roman"/>
          <w:b w:val="0"/>
          <w:color w:val="262626"/>
          <w:spacing w:val="0"/>
          <w:kern w:val="0"/>
          <w:sz w:val="20"/>
          <w:szCs w:val="20"/>
          <w:lang w:val="nl-BE"/>
        </w:rPr>
      </w:pPr>
      <w:r w:rsidRPr="00CE595C">
        <w:rPr>
          <w:rFonts w:eastAsia="Times New Roman"/>
          <w:b w:val="0"/>
          <w:color w:val="262626"/>
          <w:spacing w:val="0"/>
          <w:kern w:val="0"/>
          <w:sz w:val="20"/>
          <w:szCs w:val="20"/>
          <w:lang w:val="nl-BE"/>
        </w:rPr>
        <w:t>Ma</w:t>
      </w:r>
      <w:r w:rsidR="00251011" w:rsidRPr="00CE595C">
        <w:rPr>
          <w:rFonts w:eastAsia="Times New Roman"/>
          <w:b w:val="0"/>
          <w:color w:val="262626"/>
          <w:spacing w:val="0"/>
          <w:kern w:val="0"/>
          <w:sz w:val="20"/>
          <w:szCs w:val="20"/>
          <w:lang w:val="nl-BE"/>
        </w:rPr>
        <w:t>art</w:t>
      </w:r>
      <w:r w:rsidRPr="00CE595C">
        <w:rPr>
          <w:rFonts w:eastAsia="Times New Roman"/>
          <w:b w:val="0"/>
          <w:color w:val="262626"/>
          <w:spacing w:val="0"/>
          <w:kern w:val="0"/>
          <w:sz w:val="20"/>
          <w:szCs w:val="20"/>
          <w:lang w:val="nl-BE"/>
        </w:rPr>
        <w:t xml:space="preserve"> 2017</w:t>
      </w:r>
    </w:p>
    <w:p w:rsidR="006D18CA" w:rsidRPr="00CE595C" w:rsidRDefault="006D18CA" w:rsidP="005F24D8">
      <w:pPr>
        <w:spacing w:after="0" w:line="240" w:lineRule="auto"/>
        <w:jc w:val="left"/>
        <w:rPr>
          <w:b/>
          <w:color w:val="auto"/>
          <w:lang w:val="nl-BE"/>
        </w:rPr>
      </w:pPr>
    </w:p>
    <w:p w:rsidR="00950A8D" w:rsidRPr="00CE595C" w:rsidRDefault="00950A8D" w:rsidP="00950A8D">
      <w:pPr>
        <w:pStyle w:val="Lijstalinea"/>
        <w:numPr>
          <w:ilvl w:val="0"/>
          <w:numId w:val="4"/>
        </w:numPr>
        <w:spacing w:after="0" w:line="240" w:lineRule="auto"/>
        <w:jc w:val="left"/>
        <w:rPr>
          <w:color w:val="auto"/>
          <w:szCs w:val="18"/>
          <w:u w:val="single"/>
          <w:lang w:val="nl-BE"/>
        </w:rPr>
      </w:pPr>
      <w:r w:rsidRPr="00CE595C">
        <w:rPr>
          <w:b/>
          <w:color w:val="auto"/>
          <w:szCs w:val="18"/>
          <w:lang w:val="nl-BE"/>
        </w:rPr>
        <w:t>In</w:t>
      </w:r>
      <w:r w:rsidR="00251011" w:rsidRPr="00CE595C">
        <w:rPr>
          <w:b/>
          <w:color w:val="auto"/>
          <w:szCs w:val="18"/>
          <w:lang w:val="nl-BE"/>
        </w:rPr>
        <w:t>leiding</w:t>
      </w:r>
    </w:p>
    <w:p w:rsidR="00950A8D" w:rsidRPr="00CE595C" w:rsidRDefault="00950A8D" w:rsidP="00950A8D">
      <w:pPr>
        <w:spacing w:after="0" w:line="240" w:lineRule="auto"/>
        <w:jc w:val="left"/>
        <w:rPr>
          <w:color w:val="auto"/>
          <w:szCs w:val="18"/>
          <w:lang w:val="nl-BE"/>
        </w:rPr>
      </w:pPr>
    </w:p>
    <w:p w:rsidR="00251011" w:rsidRPr="00CE595C" w:rsidRDefault="00251011" w:rsidP="00251011">
      <w:pPr>
        <w:spacing w:after="0" w:line="240" w:lineRule="auto"/>
        <w:jc w:val="left"/>
        <w:rPr>
          <w:color w:val="auto"/>
          <w:szCs w:val="18"/>
          <w:lang w:val="nl-BE"/>
        </w:rPr>
      </w:pPr>
      <w:r w:rsidRPr="00CE595C">
        <w:rPr>
          <w:color w:val="auto"/>
          <w:szCs w:val="18"/>
          <w:lang w:val="nl-BE"/>
        </w:rPr>
        <w:t>De beoordeling van nationale wijzigingen van type II door de kwaliteitsevaluatoren neemt</w:t>
      </w:r>
      <w:r w:rsidR="00137607" w:rsidRPr="00CE595C">
        <w:rPr>
          <w:color w:val="auto"/>
          <w:szCs w:val="18"/>
          <w:lang w:val="nl-BE"/>
        </w:rPr>
        <w:t xml:space="preserve"> </w:t>
      </w:r>
      <w:r w:rsidRPr="00CE595C">
        <w:rPr>
          <w:color w:val="auto"/>
          <w:szCs w:val="18"/>
          <w:lang w:val="nl-BE"/>
        </w:rPr>
        <w:t>aanzienlijk veel tijd in beslag. Dit wordt veroorzaakt door het grote aantal</w:t>
      </w:r>
      <w:r w:rsidR="00137607" w:rsidRPr="00CE595C">
        <w:rPr>
          <w:color w:val="auto"/>
          <w:szCs w:val="18"/>
          <w:lang w:val="nl-BE"/>
        </w:rPr>
        <w:t xml:space="preserve"> aanvragen </w:t>
      </w:r>
      <w:r w:rsidRPr="00CE595C">
        <w:rPr>
          <w:color w:val="auto"/>
          <w:szCs w:val="18"/>
          <w:lang w:val="nl-BE"/>
        </w:rPr>
        <w:t>enerzijds, en door de tijd die nodig is om elke aanvraag</w:t>
      </w:r>
      <w:r w:rsidR="00137607" w:rsidRPr="00CE595C">
        <w:rPr>
          <w:color w:val="auto"/>
          <w:szCs w:val="18"/>
          <w:lang w:val="nl-BE"/>
        </w:rPr>
        <w:t xml:space="preserve"> </w:t>
      </w:r>
      <w:r w:rsidRPr="00CE595C">
        <w:rPr>
          <w:color w:val="auto"/>
          <w:szCs w:val="18"/>
          <w:lang w:val="nl-BE"/>
        </w:rPr>
        <w:t>te beoordelen</w:t>
      </w:r>
      <w:r w:rsidR="002E1D78">
        <w:rPr>
          <w:color w:val="auto"/>
          <w:szCs w:val="18"/>
          <w:lang w:val="nl-BE"/>
        </w:rPr>
        <w:t>,</w:t>
      </w:r>
      <w:r w:rsidRPr="00CE595C">
        <w:rPr>
          <w:color w:val="auto"/>
          <w:szCs w:val="18"/>
          <w:lang w:val="nl-BE"/>
        </w:rPr>
        <w:t xml:space="preserve"> anderzijds.</w:t>
      </w:r>
    </w:p>
    <w:p w:rsidR="00137607" w:rsidRPr="00CE595C" w:rsidRDefault="00137607" w:rsidP="00251011">
      <w:pPr>
        <w:spacing w:after="0" w:line="240" w:lineRule="auto"/>
        <w:jc w:val="left"/>
        <w:rPr>
          <w:color w:val="auto"/>
          <w:szCs w:val="18"/>
          <w:lang w:val="nl-BE"/>
        </w:rPr>
      </w:pPr>
    </w:p>
    <w:p w:rsidR="00251011" w:rsidRPr="00CE595C" w:rsidRDefault="00251011" w:rsidP="00137607">
      <w:pPr>
        <w:autoSpaceDE w:val="0"/>
        <w:autoSpaceDN w:val="0"/>
        <w:adjustRightInd w:val="0"/>
        <w:spacing w:after="0" w:line="240" w:lineRule="auto"/>
        <w:jc w:val="left"/>
        <w:rPr>
          <w:color w:val="auto"/>
          <w:szCs w:val="18"/>
          <w:lang w:val="nl-BE"/>
        </w:rPr>
      </w:pPr>
      <w:r w:rsidRPr="00CE595C">
        <w:rPr>
          <w:color w:val="auto"/>
          <w:szCs w:val="18"/>
          <w:lang w:val="nl-BE"/>
        </w:rPr>
        <w:t>De totale evaluatieduur voor nationale type II wijzigingen aan module 3 werd reeds</w:t>
      </w:r>
      <w:r w:rsidR="00137607" w:rsidRPr="00CE595C">
        <w:rPr>
          <w:color w:val="auto"/>
          <w:szCs w:val="18"/>
          <w:lang w:val="nl-BE"/>
        </w:rPr>
        <w:t xml:space="preserve"> aanzienlijk </w:t>
      </w:r>
      <w:r w:rsidRPr="00CE595C">
        <w:rPr>
          <w:color w:val="auto"/>
          <w:szCs w:val="18"/>
          <w:lang w:val="nl-BE"/>
        </w:rPr>
        <w:t xml:space="preserve">ingekort </w:t>
      </w:r>
      <w:r w:rsidR="00137607" w:rsidRPr="00CE595C">
        <w:rPr>
          <w:color w:val="auto"/>
          <w:szCs w:val="18"/>
          <w:lang w:val="nl-BE"/>
        </w:rPr>
        <w:t xml:space="preserve">na de omzetting van het indelingssysteem van de </w:t>
      </w:r>
      <w:proofErr w:type="spellStart"/>
      <w:r w:rsidR="00137607" w:rsidRPr="00CE595C">
        <w:rPr>
          <w:color w:val="auto"/>
          <w:szCs w:val="18"/>
          <w:lang w:val="nl-BE"/>
        </w:rPr>
        <w:t>herziene</w:t>
      </w:r>
      <w:proofErr w:type="spellEnd"/>
      <w:r w:rsidR="00137607" w:rsidRPr="00CE595C">
        <w:rPr>
          <w:color w:val="auto"/>
          <w:szCs w:val="18"/>
          <w:lang w:val="nl-BE"/>
        </w:rPr>
        <w:t xml:space="preserve"> Europese </w:t>
      </w:r>
      <w:r w:rsidR="002E1D78">
        <w:rPr>
          <w:color w:val="auto"/>
          <w:szCs w:val="18"/>
          <w:lang w:val="nl-BE"/>
        </w:rPr>
        <w:t>Verordening nr.</w:t>
      </w:r>
      <w:r w:rsidR="00137607" w:rsidRPr="00CE595C">
        <w:rPr>
          <w:color w:val="auto"/>
          <w:szCs w:val="18"/>
          <w:lang w:val="nl-BE"/>
        </w:rPr>
        <w:t xml:space="preserve"> 1234/2008/EG in de nationale wetgeving.</w:t>
      </w:r>
    </w:p>
    <w:p w:rsidR="00251011" w:rsidRPr="00CE595C" w:rsidRDefault="00251011" w:rsidP="00251011">
      <w:pPr>
        <w:spacing w:after="0" w:line="240" w:lineRule="auto"/>
        <w:jc w:val="left"/>
        <w:rPr>
          <w:color w:val="auto"/>
          <w:szCs w:val="18"/>
          <w:lang w:val="nl-BE"/>
        </w:rPr>
      </w:pPr>
    </w:p>
    <w:p w:rsidR="00950A8D" w:rsidRDefault="00137607" w:rsidP="002E1D78">
      <w:pPr>
        <w:autoSpaceDE w:val="0"/>
        <w:autoSpaceDN w:val="0"/>
        <w:adjustRightInd w:val="0"/>
        <w:spacing w:after="0" w:line="240" w:lineRule="auto"/>
        <w:jc w:val="left"/>
        <w:rPr>
          <w:color w:val="auto"/>
          <w:szCs w:val="18"/>
          <w:lang w:val="nl-BE"/>
        </w:rPr>
      </w:pPr>
      <w:r w:rsidRPr="00CE595C">
        <w:rPr>
          <w:color w:val="auto"/>
          <w:szCs w:val="18"/>
          <w:lang w:val="nl-BE"/>
        </w:rPr>
        <w:t xml:space="preserve">De werkverdelingsprocedure, zoals beschreven in artikel 20 van </w:t>
      </w:r>
      <w:r w:rsidR="002E1D78">
        <w:rPr>
          <w:color w:val="auto"/>
          <w:szCs w:val="18"/>
          <w:lang w:val="nl-BE"/>
        </w:rPr>
        <w:t xml:space="preserve">Verordening nr. </w:t>
      </w:r>
      <w:r w:rsidRPr="00CE595C">
        <w:rPr>
          <w:color w:val="auto"/>
          <w:szCs w:val="18"/>
          <w:lang w:val="nl-BE"/>
        </w:rPr>
        <w:t>1234/2008/EG, heeft ook een positief effect gehad op de evaluatietermijn die noodzakelijk is voor nationale wijzigingen van type II. In het kader van deze procedure moet de wijziging tegelijkertijd worden voorgelegd aan de autoriteiten van de verschillende betrokken lidstaten. Een referentie-instantie voert de evaluatie uit en brengt de andere instanties op de hoogte van het resultaat.</w:t>
      </w:r>
    </w:p>
    <w:p w:rsidR="002E1D78" w:rsidRPr="00CE595C" w:rsidRDefault="002E1D78" w:rsidP="002E1D78">
      <w:pPr>
        <w:autoSpaceDE w:val="0"/>
        <w:autoSpaceDN w:val="0"/>
        <w:adjustRightInd w:val="0"/>
        <w:spacing w:after="0" w:line="240" w:lineRule="auto"/>
        <w:jc w:val="left"/>
        <w:rPr>
          <w:color w:val="auto"/>
          <w:szCs w:val="18"/>
          <w:lang w:val="nl-BE"/>
        </w:rPr>
      </w:pPr>
    </w:p>
    <w:p w:rsidR="00325A3B" w:rsidRPr="00CE595C" w:rsidRDefault="00137607" w:rsidP="008122B7">
      <w:pPr>
        <w:autoSpaceDE w:val="0"/>
        <w:autoSpaceDN w:val="0"/>
        <w:adjustRightInd w:val="0"/>
        <w:spacing w:after="0" w:line="240" w:lineRule="auto"/>
        <w:jc w:val="left"/>
        <w:rPr>
          <w:color w:val="auto"/>
          <w:szCs w:val="18"/>
          <w:lang w:val="nl-BE"/>
        </w:rPr>
      </w:pPr>
      <w:r w:rsidRPr="00CE595C">
        <w:rPr>
          <w:color w:val="auto"/>
          <w:szCs w:val="18"/>
          <w:lang w:val="nl-BE"/>
        </w:rPr>
        <w:t xml:space="preserve">De strategie beschreven in dit document en die wordt toegepast door de kwaliteitsevaluatoren van het FAGG vormt een bijkomende bijdrage </w:t>
      </w:r>
      <w:r w:rsidR="008122B7" w:rsidRPr="00CE595C">
        <w:rPr>
          <w:color w:val="auto"/>
          <w:szCs w:val="18"/>
          <w:lang w:val="nl-BE"/>
        </w:rPr>
        <w:t xml:space="preserve">tot een </w:t>
      </w:r>
      <w:r w:rsidRPr="00CE595C">
        <w:rPr>
          <w:color w:val="auto"/>
          <w:szCs w:val="18"/>
          <w:lang w:val="nl-BE"/>
        </w:rPr>
        <w:t xml:space="preserve">verdere rationalisering. De bedoeling is om de procedure </w:t>
      </w:r>
      <w:r w:rsidR="008122B7" w:rsidRPr="00CE595C">
        <w:rPr>
          <w:color w:val="auto"/>
          <w:szCs w:val="18"/>
          <w:lang w:val="nl-BE"/>
        </w:rPr>
        <w:t xml:space="preserve">verder </w:t>
      </w:r>
      <w:r w:rsidRPr="00CE595C">
        <w:rPr>
          <w:color w:val="auto"/>
          <w:szCs w:val="18"/>
          <w:lang w:val="nl-BE"/>
        </w:rPr>
        <w:t>te optimaliseren voor</w:t>
      </w:r>
      <w:r w:rsidR="008122B7" w:rsidRPr="00CE595C">
        <w:rPr>
          <w:color w:val="auto"/>
          <w:szCs w:val="18"/>
          <w:lang w:val="nl-BE"/>
        </w:rPr>
        <w:t xml:space="preserve"> </w:t>
      </w:r>
      <w:r w:rsidRPr="00CE595C">
        <w:rPr>
          <w:color w:val="auto"/>
          <w:szCs w:val="18"/>
          <w:lang w:val="nl-BE"/>
        </w:rPr>
        <w:t>type II wijzigingen aan module 3, waarvoor een nationale beoordeling noodzakelijk blijft.</w:t>
      </w:r>
    </w:p>
    <w:p w:rsidR="00950A8D" w:rsidRPr="00CE595C" w:rsidRDefault="00950A8D" w:rsidP="00325A3B">
      <w:pPr>
        <w:jc w:val="left"/>
        <w:rPr>
          <w:color w:val="auto"/>
          <w:szCs w:val="18"/>
          <w:lang w:val="nl-BE"/>
        </w:rPr>
      </w:pPr>
    </w:p>
    <w:p w:rsidR="00325A3B" w:rsidRPr="00CE595C" w:rsidRDefault="008122B7" w:rsidP="008122B7">
      <w:pPr>
        <w:pStyle w:val="Lijstalinea"/>
        <w:numPr>
          <w:ilvl w:val="0"/>
          <w:numId w:val="4"/>
        </w:numPr>
        <w:spacing w:after="0" w:line="240" w:lineRule="auto"/>
        <w:jc w:val="left"/>
        <w:rPr>
          <w:b/>
          <w:color w:val="auto"/>
          <w:szCs w:val="18"/>
          <w:lang w:val="nl-BE"/>
        </w:rPr>
      </w:pPr>
      <w:r w:rsidRPr="00CE595C">
        <w:rPr>
          <w:b/>
          <w:color w:val="auto"/>
          <w:szCs w:val="18"/>
          <w:lang w:val="nl-BE"/>
        </w:rPr>
        <w:t>Toelichting bij de strategie</w:t>
      </w:r>
    </w:p>
    <w:p w:rsidR="00325A3B" w:rsidRPr="00CE595C" w:rsidRDefault="00325A3B" w:rsidP="00325A3B">
      <w:pPr>
        <w:spacing w:after="0" w:line="240" w:lineRule="auto"/>
        <w:jc w:val="left"/>
        <w:rPr>
          <w:color w:val="auto"/>
          <w:szCs w:val="18"/>
          <w:lang w:val="nl-BE"/>
        </w:rPr>
      </w:pPr>
    </w:p>
    <w:p w:rsidR="005936F9" w:rsidRPr="00CE595C" w:rsidRDefault="005936F9" w:rsidP="005936F9">
      <w:pPr>
        <w:spacing w:after="0" w:line="240" w:lineRule="auto"/>
        <w:jc w:val="left"/>
        <w:rPr>
          <w:color w:val="auto"/>
          <w:szCs w:val="18"/>
          <w:lang w:val="nl-BE"/>
        </w:rPr>
      </w:pPr>
      <w:r w:rsidRPr="00CE595C">
        <w:rPr>
          <w:color w:val="auto"/>
          <w:szCs w:val="18"/>
          <w:lang w:val="nl-BE"/>
        </w:rPr>
        <w:t>De beoordeling van documenten ingediend ter ondersteuning van analytische type II wijzigingen brengt vaak een aanzienlijk aantal vragen met zich mee, waarvan een deel niet gerelateerd is aan de veranderingen voorgelegd in de wijzigingsaanvraag. Dit kan de goedkeuring van de wijzigingen aanzienlijk vertragen. De evaluatie van de antwoorden zorgt bovendien voor extra werklast voor de evaluatoren.</w:t>
      </w:r>
    </w:p>
    <w:p w:rsidR="005936F9" w:rsidRPr="00CE595C" w:rsidRDefault="005936F9" w:rsidP="005936F9">
      <w:pPr>
        <w:spacing w:after="0" w:line="240" w:lineRule="auto"/>
        <w:jc w:val="left"/>
        <w:rPr>
          <w:color w:val="auto"/>
          <w:szCs w:val="18"/>
          <w:lang w:val="nl-BE"/>
        </w:rPr>
      </w:pPr>
    </w:p>
    <w:p w:rsidR="005936F9" w:rsidRPr="00CE595C" w:rsidRDefault="005936F9" w:rsidP="005936F9">
      <w:pPr>
        <w:spacing w:after="0" w:line="240" w:lineRule="auto"/>
        <w:jc w:val="left"/>
        <w:rPr>
          <w:color w:val="auto"/>
          <w:szCs w:val="18"/>
          <w:lang w:val="nl-BE"/>
        </w:rPr>
      </w:pPr>
      <w:r w:rsidRPr="00CE595C">
        <w:rPr>
          <w:color w:val="auto"/>
          <w:szCs w:val="18"/>
          <w:lang w:val="nl-BE"/>
        </w:rPr>
        <w:t>Vragen die geen verband houden met de voorgestelde veranderingen worden voor een deel veroorzaakt door een gebrek aan transparantie in het aanvraagformulier in verband met de scope van de wijziging of de voorgestelde veranderingen. Anderzijds zien evaluatoren procedures voor type II wijzigingen als een gelegenheid om aanbevelingen te doen over de conformiteit van het kwaliteitsdossier met de huidige normen.</w:t>
      </w:r>
    </w:p>
    <w:p w:rsidR="005936F9" w:rsidRPr="00CE595C" w:rsidRDefault="005936F9" w:rsidP="005936F9">
      <w:pPr>
        <w:spacing w:after="0" w:line="240" w:lineRule="auto"/>
        <w:jc w:val="left"/>
        <w:rPr>
          <w:color w:val="auto"/>
          <w:szCs w:val="18"/>
          <w:lang w:val="nl-BE"/>
        </w:rPr>
      </w:pPr>
    </w:p>
    <w:p w:rsidR="008C6CA4" w:rsidRPr="00CE595C" w:rsidRDefault="005936F9" w:rsidP="005936F9">
      <w:pPr>
        <w:spacing w:after="0" w:line="240" w:lineRule="auto"/>
        <w:jc w:val="left"/>
        <w:rPr>
          <w:color w:val="auto"/>
          <w:szCs w:val="18"/>
          <w:lang w:val="nl-BE"/>
        </w:rPr>
      </w:pPr>
      <w:r w:rsidRPr="00CE595C">
        <w:rPr>
          <w:color w:val="auto"/>
          <w:szCs w:val="18"/>
          <w:lang w:val="nl-BE"/>
        </w:rPr>
        <w:t>Dit document stelt een strategie voor om vertragingen te voorkomen bij de goedkeuring van wijzigingen als gevolg van vragen die geen verband houden met de voorgestelde wijzigingen, zonder daarbij afbreuk te doen aan de adviserende rol van de evaluator over de algemene status van het kwaliteitsdossier. Als beide partijen de aanbevelingen volgen, zal de implementatie van deze strategie zowel de industrie als het FAGG ten goede komen</w:t>
      </w:r>
      <w:r w:rsidR="002E1D78">
        <w:rPr>
          <w:color w:val="auto"/>
          <w:szCs w:val="18"/>
          <w:lang w:val="nl-BE"/>
        </w:rPr>
        <w:t>.</w:t>
      </w:r>
      <w:r w:rsidRPr="00CE595C">
        <w:rPr>
          <w:color w:val="auto"/>
          <w:szCs w:val="18"/>
          <w:lang w:val="nl-BE"/>
        </w:rPr>
        <w:t xml:space="preserve"> </w:t>
      </w:r>
    </w:p>
    <w:p w:rsidR="005936F9" w:rsidRPr="00CE595C" w:rsidRDefault="005936F9" w:rsidP="005936F9">
      <w:pPr>
        <w:spacing w:after="0" w:line="240" w:lineRule="auto"/>
        <w:jc w:val="left"/>
        <w:rPr>
          <w:color w:val="auto"/>
          <w:szCs w:val="18"/>
          <w:lang w:val="nl-BE"/>
        </w:rPr>
      </w:pPr>
    </w:p>
    <w:p w:rsidR="00950A8D" w:rsidRPr="00CE595C" w:rsidRDefault="005936F9" w:rsidP="008C6CA4">
      <w:pPr>
        <w:jc w:val="left"/>
        <w:rPr>
          <w:color w:val="auto"/>
          <w:szCs w:val="18"/>
          <w:lang w:val="nl-BE"/>
        </w:rPr>
      </w:pPr>
      <w:r w:rsidRPr="00CE595C">
        <w:rPr>
          <w:color w:val="auto"/>
          <w:szCs w:val="18"/>
          <w:lang w:val="nl-BE"/>
        </w:rPr>
        <w:t>Er wordt een onderscheid gemaakt tussen</w:t>
      </w:r>
      <w:r w:rsidR="00950A8D" w:rsidRPr="00CE595C">
        <w:rPr>
          <w:color w:val="auto"/>
          <w:szCs w:val="18"/>
          <w:lang w:val="nl-BE"/>
        </w:rPr>
        <w:t>:</w:t>
      </w:r>
    </w:p>
    <w:p w:rsidR="005936F9" w:rsidRPr="00CE595C" w:rsidRDefault="005936F9" w:rsidP="005936F9">
      <w:pPr>
        <w:pStyle w:val="Lijstalinea"/>
        <w:numPr>
          <w:ilvl w:val="0"/>
          <w:numId w:val="5"/>
        </w:numPr>
        <w:jc w:val="left"/>
        <w:rPr>
          <w:color w:val="auto"/>
          <w:szCs w:val="18"/>
          <w:lang w:val="nl-BE"/>
        </w:rPr>
      </w:pPr>
      <w:r w:rsidRPr="00CE595C">
        <w:rPr>
          <w:color w:val="auto"/>
          <w:szCs w:val="18"/>
          <w:lang w:val="nl-BE"/>
        </w:rPr>
        <w:t>type II wijzigingen met een specifieke en duidelijk omschreven scope,</w:t>
      </w:r>
    </w:p>
    <w:p w:rsidR="005936F9" w:rsidRPr="00CE595C" w:rsidRDefault="005936F9" w:rsidP="005936F9">
      <w:pPr>
        <w:pStyle w:val="Lijstalinea"/>
        <w:numPr>
          <w:ilvl w:val="0"/>
          <w:numId w:val="5"/>
        </w:numPr>
        <w:jc w:val="left"/>
        <w:rPr>
          <w:color w:val="auto"/>
          <w:szCs w:val="18"/>
          <w:lang w:val="nl-BE"/>
        </w:rPr>
      </w:pPr>
      <w:r w:rsidRPr="00CE595C">
        <w:rPr>
          <w:color w:val="auto"/>
          <w:szCs w:val="18"/>
          <w:lang w:val="nl-BE"/>
        </w:rPr>
        <w:t>algemene updates van het kwaliteitsdossier, en</w:t>
      </w:r>
    </w:p>
    <w:p w:rsidR="00950A8D" w:rsidRPr="00CE595C" w:rsidRDefault="005936F9" w:rsidP="008C6CA4">
      <w:pPr>
        <w:pStyle w:val="Lijstalinea"/>
        <w:numPr>
          <w:ilvl w:val="0"/>
          <w:numId w:val="5"/>
        </w:numPr>
        <w:ind w:left="539" w:hanging="539"/>
        <w:jc w:val="left"/>
        <w:rPr>
          <w:color w:val="auto"/>
          <w:szCs w:val="18"/>
          <w:lang w:val="nl-BE"/>
        </w:rPr>
      </w:pPr>
      <w:r w:rsidRPr="00CE595C">
        <w:rPr>
          <w:color w:val="auto"/>
          <w:szCs w:val="18"/>
          <w:lang w:val="nl-BE"/>
        </w:rPr>
        <w:t>de omzetting van deel II formaat in module 3 formaat zonder inhoudelijke veranderingen</w:t>
      </w:r>
      <w:r w:rsidR="00950A8D" w:rsidRPr="00CE595C">
        <w:rPr>
          <w:color w:val="auto"/>
          <w:szCs w:val="18"/>
          <w:lang w:val="nl-BE"/>
        </w:rPr>
        <w:t>.</w:t>
      </w:r>
    </w:p>
    <w:p w:rsidR="00950A8D" w:rsidRPr="00CE595C" w:rsidRDefault="005936F9" w:rsidP="00002225">
      <w:pPr>
        <w:jc w:val="left"/>
        <w:rPr>
          <w:color w:val="auto"/>
          <w:szCs w:val="18"/>
          <w:lang w:val="nl-BE"/>
        </w:rPr>
      </w:pPr>
      <w:r w:rsidRPr="00CE595C">
        <w:rPr>
          <w:color w:val="auto"/>
          <w:szCs w:val="18"/>
          <w:lang w:val="nl-BE"/>
        </w:rPr>
        <w:t>Het aanvraagformulier voor een wijziging moet duidelijk vermelden over welke categorie het gaat</w:t>
      </w:r>
      <w:r w:rsidR="00950A8D" w:rsidRPr="00CE595C">
        <w:rPr>
          <w:color w:val="auto"/>
          <w:szCs w:val="18"/>
          <w:lang w:val="nl-BE"/>
        </w:rPr>
        <w:t>.</w:t>
      </w:r>
    </w:p>
    <w:p w:rsidR="00335443" w:rsidRPr="00CE595C" w:rsidRDefault="00F846CF" w:rsidP="00F846CF">
      <w:pPr>
        <w:numPr>
          <w:ilvl w:val="0"/>
          <w:numId w:val="2"/>
        </w:numPr>
        <w:spacing w:after="0" w:line="240" w:lineRule="auto"/>
        <w:jc w:val="left"/>
        <w:rPr>
          <w:b/>
          <w:color w:val="auto"/>
          <w:szCs w:val="18"/>
          <w:lang w:val="nl-BE"/>
        </w:rPr>
      </w:pPr>
      <w:r w:rsidRPr="00CE595C">
        <w:rPr>
          <w:b/>
          <w:color w:val="auto"/>
          <w:szCs w:val="18"/>
          <w:lang w:val="nl-BE"/>
        </w:rPr>
        <w:lastRenderedPageBreak/>
        <w:t>Type II wijzigingen met specifieke scope</w:t>
      </w:r>
    </w:p>
    <w:p w:rsidR="00335443" w:rsidRPr="00CE595C" w:rsidRDefault="00335443" w:rsidP="00335443">
      <w:pPr>
        <w:spacing w:after="0" w:line="240" w:lineRule="auto"/>
        <w:jc w:val="left"/>
        <w:rPr>
          <w:b/>
          <w:color w:val="auto"/>
          <w:szCs w:val="18"/>
          <w:lang w:val="nl-BE"/>
        </w:rPr>
      </w:pPr>
    </w:p>
    <w:p w:rsidR="00FB24DA" w:rsidRPr="00CE595C" w:rsidRDefault="00FB24DA" w:rsidP="00FB24DA">
      <w:pPr>
        <w:spacing w:after="0" w:line="240" w:lineRule="auto"/>
        <w:jc w:val="left"/>
        <w:rPr>
          <w:color w:val="auto"/>
          <w:szCs w:val="18"/>
          <w:lang w:val="nl-BE"/>
        </w:rPr>
      </w:pPr>
      <w:r w:rsidRPr="00CE595C">
        <w:rPr>
          <w:color w:val="auto"/>
          <w:szCs w:val="18"/>
          <w:lang w:val="nl-BE"/>
        </w:rPr>
        <w:t xml:space="preserve">Om evaluatoren toe te laten zich enkel toe te leggen op de evaluatie van de veranderingen, moet het </w:t>
      </w:r>
      <w:r w:rsidRPr="00CE595C">
        <w:rPr>
          <w:b/>
          <w:color w:val="auto"/>
          <w:szCs w:val="18"/>
          <w:lang w:val="nl-BE"/>
        </w:rPr>
        <w:t>aanvraagformulier</w:t>
      </w:r>
      <w:r w:rsidRPr="00CE595C">
        <w:rPr>
          <w:color w:val="auto"/>
          <w:szCs w:val="18"/>
          <w:lang w:val="nl-BE"/>
        </w:rPr>
        <w:t xml:space="preserve"> voor de wijziging volledige transparantie bieden op het vlak van de scope van de wijziging, de voorgestelde veranderingen en de gevolgen voor de ondersteunende documentatie.</w:t>
      </w:r>
    </w:p>
    <w:p w:rsidR="00FB24DA" w:rsidRPr="00CE595C" w:rsidRDefault="00FB24DA" w:rsidP="00FB24DA">
      <w:pPr>
        <w:spacing w:after="0" w:line="240" w:lineRule="auto"/>
        <w:jc w:val="left"/>
        <w:rPr>
          <w:color w:val="auto"/>
          <w:szCs w:val="18"/>
          <w:lang w:val="nl-BE"/>
        </w:rPr>
      </w:pPr>
    </w:p>
    <w:p w:rsidR="00FB24DA" w:rsidRPr="00CE595C" w:rsidRDefault="00FB24DA" w:rsidP="00FB24DA">
      <w:pPr>
        <w:spacing w:after="0" w:line="240" w:lineRule="auto"/>
        <w:jc w:val="left"/>
        <w:rPr>
          <w:color w:val="auto"/>
          <w:szCs w:val="18"/>
          <w:lang w:val="nl-BE"/>
        </w:rPr>
      </w:pPr>
      <w:r w:rsidRPr="00CE595C">
        <w:rPr>
          <w:color w:val="auto"/>
          <w:szCs w:val="18"/>
          <w:lang w:val="nl-BE"/>
        </w:rPr>
        <w:t xml:space="preserve">Een gerichte evaluatie is enkel mogelijk wanneer de </w:t>
      </w:r>
      <w:r w:rsidRPr="00CE595C">
        <w:rPr>
          <w:b/>
          <w:color w:val="auto"/>
          <w:szCs w:val="18"/>
          <w:lang w:val="nl-BE"/>
        </w:rPr>
        <w:t xml:space="preserve">voorgestelde veranderingen duidelijk zijn gerelateerd aan de scope </w:t>
      </w:r>
      <w:r w:rsidRPr="00CE595C">
        <w:rPr>
          <w:color w:val="auto"/>
          <w:szCs w:val="18"/>
          <w:lang w:val="nl-BE"/>
        </w:rPr>
        <w:t>van de wijziging. Bijvoorbeeld, als de scope van de wijziging betrekking heeft op de invoering van een nieuwe testmethode voor verontreinigingen in module 3.2.P, spreekt het voor zich dat er mogelijke veranderingen zijn in de specificaties, analysemethoden, validatieverslagen van deze methoden, discussie over de onzuiverheden en stabiliteitsverslagen.</w:t>
      </w:r>
    </w:p>
    <w:p w:rsidR="00FB24DA" w:rsidRPr="00CE595C" w:rsidRDefault="00FB24DA" w:rsidP="00FB24DA">
      <w:pPr>
        <w:spacing w:after="0" w:line="240" w:lineRule="auto"/>
        <w:jc w:val="left"/>
        <w:rPr>
          <w:color w:val="auto"/>
          <w:szCs w:val="18"/>
          <w:lang w:val="nl-BE"/>
        </w:rPr>
      </w:pPr>
    </w:p>
    <w:p w:rsidR="00335443" w:rsidRPr="00CE595C" w:rsidRDefault="00FB24DA" w:rsidP="00FB24DA">
      <w:pPr>
        <w:spacing w:after="0" w:line="240" w:lineRule="auto"/>
        <w:jc w:val="left"/>
        <w:rPr>
          <w:color w:val="auto"/>
          <w:szCs w:val="18"/>
          <w:lang w:val="nl-BE"/>
        </w:rPr>
      </w:pPr>
      <w:r w:rsidRPr="00CE595C">
        <w:rPr>
          <w:color w:val="auto"/>
          <w:szCs w:val="18"/>
          <w:lang w:val="nl-BE"/>
        </w:rPr>
        <w:t>Het is echter niet aangewezen om een lijst van niet-gerelateerde veranderingen in te dienen in één enkele type II wijziging. In dat geval moet een combinatie van verschillende type I en/of type II wijzigingen worden ingediend (elk met een duidelijke scope en lijst met aanpassingen). Indien van toepassing kunnen de wijzigingen ook worden gegroepeerd, zoals bepaald in artikel 7 van Verordening nr. 1234/2008 van de Commissie.</w:t>
      </w:r>
    </w:p>
    <w:p w:rsidR="00335443" w:rsidRPr="00CE595C" w:rsidRDefault="00335443" w:rsidP="00335443">
      <w:pPr>
        <w:spacing w:after="0" w:line="240" w:lineRule="auto"/>
        <w:jc w:val="left"/>
        <w:rPr>
          <w:color w:val="auto"/>
          <w:szCs w:val="18"/>
          <w:lang w:val="nl-BE"/>
        </w:rPr>
      </w:pPr>
    </w:p>
    <w:p w:rsidR="00FB24DA" w:rsidRPr="00CE595C" w:rsidRDefault="00FB24DA" w:rsidP="00FB24DA">
      <w:pPr>
        <w:spacing w:after="0" w:line="240" w:lineRule="auto"/>
        <w:jc w:val="left"/>
        <w:rPr>
          <w:color w:val="auto"/>
          <w:szCs w:val="18"/>
          <w:lang w:val="nl-BE"/>
        </w:rPr>
      </w:pPr>
      <w:r w:rsidRPr="00CE595C">
        <w:rPr>
          <w:color w:val="auto"/>
          <w:szCs w:val="18"/>
          <w:lang w:val="nl-BE"/>
        </w:rPr>
        <w:t>Indien een vergelijking tussen de huidige en de voorgelegde situatie te complex is, kan een aanvraag voor een algemene update van module 3 worden overwogen (zie punt b).</w:t>
      </w:r>
    </w:p>
    <w:p w:rsidR="00FB24DA" w:rsidRPr="00CE595C" w:rsidRDefault="00FB24DA" w:rsidP="00FB24DA">
      <w:pPr>
        <w:spacing w:after="0" w:line="240" w:lineRule="auto"/>
        <w:jc w:val="left"/>
        <w:rPr>
          <w:color w:val="auto"/>
          <w:szCs w:val="18"/>
          <w:lang w:val="nl-BE"/>
        </w:rPr>
      </w:pPr>
    </w:p>
    <w:p w:rsidR="00950A8D" w:rsidRPr="00CE595C" w:rsidRDefault="00FB24DA" w:rsidP="007F50FE">
      <w:pPr>
        <w:spacing w:after="0" w:line="240" w:lineRule="auto"/>
        <w:jc w:val="left"/>
        <w:rPr>
          <w:color w:val="auto"/>
          <w:szCs w:val="18"/>
          <w:lang w:val="nl-BE"/>
        </w:rPr>
      </w:pPr>
      <w:r w:rsidRPr="00CE595C">
        <w:rPr>
          <w:color w:val="auto"/>
          <w:szCs w:val="18"/>
          <w:lang w:val="nl-BE"/>
        </w:rPr>
        <w:t xml:space="preserve">De </w:t>
      </w:r>
      <w:r w:rsidRPr="00CE595C">
        <w:rPr>
          <w:b/>
          <w:color w:val="auto"/>
          <w:szCs w:val="18"/>
          <w:lang w:val="nl-BE"/>
        </w:rPr>
        <w:t>ondersteunende documentatie</w:t>
      </w:r>
      <w:r w:rsidRPr="00CE595C">
        <w:rPr>
          <w:color w:val="auto"/>
          <w:szCs w:val="18"/>
          <w:lang w:val="nl-BE"/>
        </w:rPr>
        <w:t xml:space="preserve"> moet enkel de aangepaste versies van alle module 3 rubrieken bevatten die worden beïnvloed door de voorgestelde veranderingen. Het indienen van een versie met commentaren en een ‘cleane’ versie waarin alle veranderingen in elke rubriek onmiddellijk duidelijk zijn, vergemakkelijkt de efficiënte afhandeling van het dossier. De ondersteunende documentatie mag ook bijkomende rubrieken van module 3 of een volledige module 3 bevatten, bijvoorbeeld wanneer de aanvrager van de gelegenheid gebruik wil maken om tegelijkertijd het formaat van het kwaliteitsdossier te veranderen van het NTA-formaat (deel II) naar het CTD-formaat (module 3). In dergelijke gevallen moet op het aanvraagformulier echter duidelijk vermeld worden dat er </w:t>
      </w:r>
      <w:r w:rsidRPr="00CE595C">
        <w:rPr>
          <w:b/>
          <w:color w:val="auto"/>
          <w:szCs w:val="18"/>
          <w:lang w:val="nl-BE"/>
        </w:rPr>
        <w:t>geen andere veranderingen</w:t>
      </w:r>
      <w:r w:rsidRPr="00CE595C">
        <w:rPr>
          <w:color w:val="auto"/>
          <w:szCs w:val="18"/>
          <w:lang w:val="nl-BE"/>
        </w:rPr>
        <w:t xml:space="preserve"> aan de inhoud worden ingediend dan die beschreven in het aanvraagformulier.</w:t>
      </w:r>
    </w:p>
    <w:p w:rsidR="0088412C" w:rsidRPr="00CE595C" w:rsidRDefault="0088412C" w:rsidP="0088412C">
      <w:pPr>
        <w:tabs>
          <w:tab w:val="left" w:pos="540"/>
        </w:tabs>
        <w:jc w:val="left"/>
        <w:rPr>
          <w:b/>
          <w:i/>
          <w:color w:val="auto"/>
          <w:szCs w:val="18"/>
          <w:bdr w:val="single" w:sz="4" w:space="0" w:color="auto"/>
          <w:lang w:val="nl-BE"/>
        </w:rPr>
      </w:pPr>
    </w:p>
    <w:p w:rsidR="00950A8D" w:rsidRPr="00CE595C" w:rsidRDefault="00FB24DA" w:rsidP="0088412C">
      <w:pPr>
        <w:tabs>
          <w:tab w:val="left" w:pos="540"/>
        </w:tabs>
        <w:jc w:val="left"/>
        <w:rPr>
          <w:b/>
          <w:color w:val="auto"/>
          <w:szCs w:val="18"/>
          <w:lang w:val="nl-BE"/>
        </w:rPr>
      </w:pPr>
      <w:r w:rsidRPr="00CE595C">
        <w:rPr>
          <w:b/>
          <w:color w:val="auto"/>
          <w:szCs w:val="18"/>
          <w:bdr w:val="single" w:sz="4" w:space="0" w:color="auto"/>
          <w:lang w:val="nl-BE"/>
        </w:rPr>
        <w:t>Validatie door het FAGG</w:t>
      </w:r>
      <w:r w:rsidR="00950A8D" w:rsidRPr="00CE595C">
        <w:rPr>
          <w:b/>
          <w:color w:val="auto"/>
          <w:szCs w:val="18"/>
          <w:bdr w:val="single" w:sz="4" w:space="0" w:color="auto"/>
          <w:lang w:val="nl-BE"/>
        </w:rPr>
        <w:t>:</w:t>
      </w:r>
    </w:p>
    <w:p w:rsidR="00B91371" w:rsidRPr="00CE595C" w:rsidRDefault="00B91371" w:rsidP="00B91371">
      <w:pPr>
        <w:tabs>
          <w:tab w:val="left" w:pos="540"/>
        </w:tabs>
        <w:jc w:val="left"/>
        <w:rPr>
          <w:color w:val="auto"/>
          <w:szCs w:val="18"/>
          <w:lang w:val="nl-BE"/>
        </w:rPr>
      </w:pPr>
      <w:r w:rsidRPr="00CE595C">
        <w:rPr>
          <w:color w:val="auto"/>
          <w:szCs w:val="18"/>
          <w:lang w:val="nl-BE"/>
        </w:rPr>
        <w:t xml:space="preserve">Wanneer het aanvraagformulier voor een type II wijziging niet duidelijk genoeg is over de scope, de voorgestelde veranderingen en de rubrieken waarvan de inhoud wordt beïnvloed, wordt de aanvraag als ongeldig beschouwd (op de </w:t>
      </w:r>
      <w:r w:rsidR="00783B21" w:rsidRPr="00CE595C">
        <w:rPr>
          <w:color w:val="auto"/>
          <w:szCs w:val="18"/>
          <w:lang w:val="nl-BE"/>
        </w:rPr>
        <w:t>a</w:t>
      </w:r>
      <w:r w:rsidRPr="00CE595C">
        <w:rPr>
          <w:color w:val="auto"/>
          <w:szCs w:val="18"/>
          <w:lang w:val="nl-BE"/>
        </w:rPr>
        <w:t xml:space="preserve">fdeling POST </w:t>
      </w:r>
      <w:r w:rsidR="00783B21" w:rsidRPr="00CE595C">
        <w:rPr>
          <w:color w:val="auto"/>
          <w:szCs w:val="18"/>
          <w:lang w:val="nl-BE"/>
        </w:rPr>
        <w:t>v</w:t>
      </w:r>
      <w:r w:rsidRPr="00CE595C">
        <w:rPr>
          <w:color w:val="auto"/>
          <w:szCs w:val="18"/>
          <w:lang w:val="nl-BE"/>
        </w:rPr>
        <w:t>ergunning, na uploaden van het dossier).</w:t>
      </w:r>
    </w:p>
    <w:p w:rsidR="00B91371" w:rsidRPr="00CE595C" w:rsidRDefault="00B91371" w:rsidP="00B91371">
      <w:pPr>
        <w:tabs>
          <w:tab w:val="left" w:pos="540"/>
        </w:tabs>
        <w:jc w:val="left"/>
        <w:rPr>
          <w:color w:val="auto"/>
          <w:szCs w:val="18"/>
          <w:lang w:val="nl-BE"/>
        </w:rPr>
      </w:pPr>
      <w:r w:rsidRPr="00CE595C">
        <w:rPr>
          <w:color w:val="auto"/>
          <w:szCs w:val="18"/>
          <w:lang w:val="nl-BE"/>
        </w:rPr>
        <w:t>De aanvrager wordt dan verzocht om binnen 15 werkdagen (zoals bepaald in art. 10 van het KB van 14/12/2006) de volgende documenten in te dienen</w:t>
      </w:r>
      <w:r w:rsidR="00783B21" w:rsidRPr="00CE595C">
        <w:rPr>
          <w:color w:val="auto"/>
          <w:szCs w:val="18"/>
          <w:lang w:val="nl-BE"/>
        </w:rPr>
        <w:t>:</w:t>
      </w:r>
    </w:p>
    <w:p w:rsidR="00950A8D" w:rsidRPr="00CE595C" w:rsidRDefault="00950A8D" w:rsidP="00950A8D">
      <w:pPr>
        <w:tabs>
          <w:tab w:val="left" w:pos="1080"/>
        </w:tabs>
        <w:ind w:left="1080" w:hanging="360"/>
        <w:jc w:val="left"/>
        <w:rPr>
          <w:color w:val="auto"/>
          <w:szCs w:val="18"/>
          <w:lang w:val="nl-BE"/>
        </w:rPr>
      </w:pPr>
      <w:r w:rsidRPr="00CE595C">
        <w:rPr>
          <w:color w:val="auto"/>
          <w:szCs w:val="18"/>
          <w:lang w:val="nl-BE"/>
        </w:rPr>
        <w:t xml:space="preserve">a) </w:t>
      </w:r>
      <w:r w:rsidRPr="00CE595C">
        <w:rPr>
          <w:color w:val="auto"/>
          <w:szCs w:val="18"/>
          <w:lang w:val="nl-BE"/>
        </w:rPr>
        <w:tab/>
      </w:r>
      <w:r w:rsidR="00783B21" w:rsidRPr="00CE595C">
        <w:rPr>
          <w:color w:val="auto"/>
          <w:szCs w:val="18"/>
          <w:lang w:val="nl-BE"/>
        </w:rPr>
        <w:t xml:space="preserve">een correct aanvraagformulier voor een type II wijziging, of </w:t>
      </w:r>
    </w:p>
    <w:p w:rsidR="000A37B6" w:rsidRPr="00002225" w:rsidRDefault="00950A8D" w:rsidP="00002225">
      <w:pPr>
        <w:tabs>
          <w:tab w:val="left" w:pos="1080"/>
        </w:tabs>
        <w:ind w:left="1080" w:hanging="360"/>
        <w:jc w:val="left"/>
        <w:rPr>
          <w:color w:val="auto"/>
          <w:szCs w:val="18"/>
          <w:lang w:val="nl-BE"/>
        </w:rPr>
      </w:pPr>
      <w:r w:rsidRPr="00CE595C">
        <w:rPr>
          <w:color w:val="auto"/>
          <w:szCs w:val="18"/>
          <w:lang w:val="nl-BE"/>
        </w:rPr>
        <w:t xml:space="preserve">b) </w:t>
      </w:r>
      <w:r w:rsidRPr="00CE595C">
        <w:rPr>
          <w:color w:val="auto"/>
          <w:szCs w:val="18"/>
          <w:lang w:val="nl-BE"/>
        </w:rPr>
        <w:tab/>
      </w:r>
      <w:r w:rsidR="00783B21" w:rsidRPr="00CE595C">
        <w:rPr>
          <w:color w:val="auto"/>
          <w:szCs w:val="18"/>
          <w:lang w:val="nl-BE"/>
        </w:rPr>
        <w:t xml:space="preserve">een aanvraag voor een algemene update van module 3 (zie punt b), alsook een aangepast betalingsformulier dat overeenkomt met een algemene update van module 3 (zie website FAGG voor de bijdragen verschuldigd voor een module 3 update). </w:t>
      </w:r>
    </w:p>
    <w:p w:rsidR="00950A8D" w:rsidRPr="00CE595C" w:rsidRDefault="00783B21" w:rsidP="0088412C">
      <w:pPr>
        <w:jc w:val="left"/>
        <w:rPr>
          <w:b/>
          <w:i/>
          <w:color w:val="auto"/>
          <w:szCs w:val="18"/>
          <w:lang w:val="nl-BE"/>
        </w:rPr>
      </w:pPr>
      <w:r w:rsidRPr="00CE595C">
        <w:rPr>
          <w:b/>
          <w:color w:val="auto"/>
          <w:szCs w:val="18"/>
          <w:bdr w:val="single" w:sz="4" w:space="0" w:color="auto"/>
          <w:lang w:val="nl-BE"/>
        </w:rPr>
        <w:t>Kwaliteitsbeoordeling door het FAGG</w:t>
      </w:r>
      <w:r w:rsidR="00950A8D" w:rsidRPr="00CE595C">
        <w:rPr>
          <w:b/>
          <w:color w:val="auto"/>
          <w:szCs w:val="18"/>
          <w:bdr w:val="single" w:sz="4" w:space="0" w:color="auto"/>
          <w:lang w:val="nl-BE"/>
        </w:rPr>
        <w:t>:</w:t>
      </w:r>
    </w:p>
    <w:p w:rsidR="00950A8D" w:rsidRPr="00CE595C" w:rsidRDefault="003A5643" w:rsidP="003A5643">
      <w:pPr>
        <w:jc w:val="left"/>
        <w:rPr>
          <w:color w:val="auto"/>
          <w:szCs w:val="18"/>
          <w:lang w:val="nl-BE"/>
        </w:rPr>
      </w:pPr>
      <w:r w:rsidRPr="00CE595C">
        <w:rPr>
          <w:color w:val="auto"/>
          <w:szCs w:val="18"/>
          <w:lang w:val="nl-BE"/>
        </w:rPr>
        <w:t xml:space="preserve">Wanneer het aanvraagformulier en de ondersteunende documentatie in overeenstemming zijn met het bovengemelde, </w:t>
      </w:r>
      <w:r w:rsidRPr="00CE595C">
        <w:rPr>
          <w:b/>
          <w:color w:val="auto"/>
          <w:szCs w:val="18"/>
          <w:lang w:val="nl-BE"/>
        </w:rPr>
        <w:t>zal de beoordeling enkel gericht zijn op de voorgelegde veranderingen</w:t>
      </w:r>
      <w:r w:rsidRPr="00CE595C">
        <w:rPr>
          <w:color w:val="auto"/>
          <w:szCs w:val="18"/>
          <w:lang w:val="nl-BE"/>
        </w:rPr>
        <w:t>. Vragen (die een antwoord vereisen tijdens de procedure) zullen enkel worden gesteld in verband met de voorgestelde veranderingen</w:t>
      </w:r>
      <w:r w:rsidR="00950A8D" w:rsidRPr="00CE595C">
        <w:rPr>
          <w:color w:val="auto"/>
          <w:szCs w:val="18"/>
          <w:lang w:val="nl-BE"/>
        </w:rPr>
        <w:t xml:space="preserve">. </w:t>
      </w:r>
    </w:p>
    <w:p w:rsidR="000131E0" w:rsidRPr="00CE595C" w:rsidRDefault="000131E0" w:rsidP="000131E0">
      <w:pPr>
        <w:jc w:val="left"/>
        <w:rPr>
          <w:color w:val="auto"/>
          <w:szCs w:val="18"/>
          <w:lang w:val="nl-BE"/>
        </w:rPr>
      </w:pPr>
      <w:r w:rsidRPr="00CE595C">
        <w:rPr>
          <w:color w:val="auto"/>
          <w:szCs w:val="18"/>
          <w:lang w:val="nl-BE"/>
        </w:rPr>
        <w:t xml:space="preserve">Hoewel het niet de bedoeling is een volledige evaluatie uit te voeren van ondersteunende documentatie </w:t>
      </w:r>
      <w:r w:rsidR="000A37B6">
        <w:rPr>
          <w:color w:val="auto"/>
          <w:szCs w:val="18"/>
          <w:lang w:val="nl-BE"/>
        </w:rPr>
        <w:t>zonder rechtstreeks</w:t>
      </w:r>
      <w:r w:rsidRPr="00CE595C">
        <w:rPr>
          <w:color w:val="auto"/>
          <w:szCs w:val="18"/>
          <w:lang w:val="nl-BE"/>
        </w:rPr>
        <w:t xml:space="preserve"> verband met de voorgestelde veranderingen, kunnen ook andere bedenkingen voortvloeien uit de evaluatie. Wanneer evaluatoren </w:t>
      </w:r>
      <w:r w:rsidRPr="00CE595C">
        <w:rPr>
          <w:b/>
          <w:color w:val="auto"/>
          <w:szCs w:val="18"/>
          <w:lang w:val="nl-BE"/>
        </w:rPr>
        <w:t xml:space="preserve">bedenkingen </w:t>
      </w:r>
      <w:r w:rsidRPr="00CE595C">
        <w:rPr>
          <w:color w:val="auto"/>
          <w:szCs w:val="18"/>
          <w:lang w:val="nl-BE"/>
        </w:rPr>
        <w:t>hebben</w:t>
      </w:r>
      <w:r w:rsidRPr="00CE595C">
        <w:rPr>
          <w:b/>
          <w:color w:val="auto"/>
          <w:szCs w:val="18"/>
          <w:lang w:val="nl-BE"/>
        </w:rPr>
        <w:t xml:space="preserve"> die niet gerelateerd zijn aan de voorgestelde veranderingen</w:t>
      </w:r>
      <w:r w:rsidRPr="00CE595C">
        <w:rPr>
          <w:color w:val="auto"/>
          <w:szCs w:val="18"/>
          <w:lang w:val="nl-BE"/>
        </w:rPr>
        <w:t xml:space="preserve">, worden deze opgenomen in een aparte lijst die moet worden </w:t>
      </w:r>
      <w:r w:rsidRPr="00CE595C">
        <w:rPr>
          <w:b/>
          <w:color w:val="auto"/>
          <w:szCs w:val="18"/>
          <w:lang w:val="nl-BE"/>
        </w:rPr>
        <w:t>beschouwd als een aanbeveling</w:t>
      </w:r>
      <w:r w:rsidRPr="00CE595C">
        <w:rPr>
          <w:color w:val="auto"/>
          <w:szCs w:val="18"/>
          <w:lang w:val="nl-BE"/>
        </w:rPr>
        <w:t xml:space="preserve"> aan de aanvrager. Deze bedenkingen dienen niet te worden opgehelderd tijdens de wijzigingsprocedure. Het is de aanvrager die moet nagaan hoe deze aanbevelingen kunnen worden gebruikt in het onderhoudsprogramma van module 3 (zelfcontrole). Dit </w:t>
      </w:r>
      <w:r w:rsidR="00012778">
        <w:rPr>
          <w:color w:val="auto"/>
          <w:szCs w:val="18"/>
          <w:lang w:val="nl-BE"/>
        </w:rPr>
        <w:lastRenderedPageBreak/>
        <w:t>biedt</w:t>
      </w:r>
      <w:r w:rsidRPr="00CE595C">
        <w:rPr>
          <w:color w:val="auto"/>
          <w:szCs w:val="18"/>
          <w:lang w:val="nl-BE"/>
        </w:rPr>
        <w:t xml:space="preserve"> de aanvrager een grotere flexibiliteit, bijvoorbeeld om deze aanbevelingen te combineren met verzoeken van andere lidstaten waar het product in de handel is. Indien de aanvrager hierop latere wijzigingsaanvragen indient, waarin op één of meerdere aanbevelingen wordt ingegaan, wordt hem gevraagd duidelijk te </w:t>
      </w:r>
      <w:r w:rsidR="00012778">
        <w:rPr>
          <w:color w:val="auto"/>
          <w:szCs w:val="18"/>
          <w:lang w:val="nl-BE"/>
        </w:rPr>
        <w:t>verwijzen</w:t>
      </w:r>
      <w:r w:rsidRPr="00CE595C">
        <w:rPr>
          <w:color w:val="auto"/>
          <w:szCs w:val="18"/>
          <w:lang w:val="nl-BE"/>
        </w:rPr>
        <w:t xml:space="preserve"> naar de wijzigingsaanvraag tijdens dewelke deze aanbeveling(en) werd(en) ge</w:t>
      </w:r>
      <w:r w:rsidR="00012778">
        <w:rPr>
          <w:color w:val="auto"/>
          <w:szCs w:val="18"/>
          <w:lang w:val="nl-BE"/>
        </w:rPr>
        <w:t>formuleerd</w:t>
      </w:r>
      <w:r w:rsidRPr="00CE595C">
        <w:rPr>
          <w:color w:val="auto"/>
          <w:szCs w:val="18"/>
          <w:lang w:val="nl-BE"/>
        </w:rPr>
        <w:t>.</w:t>
      </w:r>
    </w:p>
    <w:p w:rsidR="0088412C" w:rsidRPr="00CE595C" w:rsidRDefault="000131E0" w:rsidP="000131E0">
      <w:pPr>
        <w:jc w:val="left"/>
        <w:rPr>
          <w:color w:val="auto"/>
          <w:szCs w:val="18"/>
          <w:lang w:val="nl-BE"/>
        </w:rPr>
      </w:pPr>
      <w:r w:rsidRPr="00CE595C">
        <w:rPr>
          <w:color w:val="auto"/>
          <w:szCs w:val="18"/>
          <w:lang w:val="nl-BE"/>
        </w:rPr>
        <w:t xml:space="preserve">Bij de beoordeling van latere wijzigingen of updates kan de evaluator van het FAGG feedback opvragen over hoe zijn aanbevelingen werden opgevolgd. Het is evenwel niet de bedoeling dat het FAGG een systematische follow-up van deze aanbevelingen organiseert; dit valt onder de verantwoordelijkheid van de VHB-houder (zelfcontrole). </w:t>
      </w:r>
    </w:p>
    <w:p w:rsidR="0088412C" w:rsidRPr="00CE595C" w:rsidRDefault="000131E0" w:rsidP="000131E0">
      <w:pPr>
        <w:jc w:val="left"/>
        <w:rPr>
          <w:color w:val="auto"/>
          <w:szCs w:val="18"/>
          <w:lang w:val="nl-BE"/>
        </w:rPr>
      </w:pPr>
      <w:r w:rsidRPr="00CE595C">
        <w:rPr>
          <w:color w:val="auto"/>
          <w:szCs w:val="18"/>
          <w:lang w:val="nl-BE"/>
        </w:rPr>
        <w:t xml:space="preserve">In uitzonderlijke gevallen en als er een potentieel ernstig risico voor de volksgezondheid bestaat, kan het FAGG vragen om bepaalde kwesties die niet noodzakelijkerwijs direct te maken hebben met de voorgestelde veranderingen, op te helderen tijdens de procedure of om duidelijke toezeggingen te doen tijdens de procedure. </w:t>
      </w:r>
      <w:r w:rsidR="0088412C" w:rsidRPr="00CE595C">
        <w:rPr>
          <w:color w:val="auto"/>
          <w:szCs w:val="18"/>
          <w:lang w:val="nl-BE"/>
        </w:rPr>
        <w:t xml:space="preserve"> </w:t>
      </w:r>
    </w:p>
    <w:p w:rsidR="0088412C" w:rsidRPr="00CE595C" w:rsidRDefault="00A16486" w:rsidP="0088412C">
      <w:pPr>
        <w:numPr>
          <w:ilvl w:val="0"/>
          <w:numId w:val="2"/>
        </w:numPr>
        <w:spacing w:after="0" w:line="240" w:lineRule="auto"/>
        <w:jc w:val="left"/>
        <w:rPr>
          <w:b/>
          <w:color w:val="auto"/>
          <w:szCs w:val="18"/>
          <w:lang w:val="nl-BE"/>
        </w:rPr>
      </w:pPr>
      <w:r w:rsidRPr="00CE595C">
        <w:rPr>
          <w:b/>
          <w:color w:val="auto"/>
          <w:szCs w:val="18"/>
          <w:lang w:val="nl-BE"/>
        </w:rPr>
        <w:t>Algemene</w:t>
      </w:r>
      <w:r w:rsidR="00950A8D" w:rsidRPr="00CE595C">
        <w:rPr>
          <w:b/>
          <w:color w:val="auto"/>
          <w:szCs w:val="18"/>
          <w:lang w:val="nl-BE"/>
        </w:rPr>
        <w:t xml:space="preserve"> update module 3</w:t>
      </w:r>
    </w:p>
    <w:p w:rsidR="0088412C" w:rsidRPr="00CE595C" w:rsidRDefault="0088412C" w:rsidP="0088412C">
      <w:pPr>
        <w:spacing w:after="0" w:line="240" w:lineRule="auto"/>
        <w:jc w:val="left"/>
        <w:rPr>
          <w:b/>
          <w:color w:val="auto"/>
          <w:szCs w:val="18"/>
          <w:lang w:val="nl-BE"/>
        </w:rPr>
      </w:pPr>
    </w:p>
    <w:p w:rsidR="00A16486" w:rsidRPr="00CE595C" w:rsidRDefault="00A16486" w:rsidP="00A16486">
      <w:pPr>
        <w:spacing w:after="0" w:line="240" w:lineRule="auto"/>
        <w:jc w:val="left"/>
        <w:rPr>
          <w:color w:val="auto"/>
          <w:szCs w:val="18"/>
          <w:lang w:val="nl-BE"/>
        </w:rPr>
      </w:pPr>
      <w:r w:rsidRPr="00CE595C">
        <w:rPr>
          <w:color w:val="auto"/>
          <w:szCs w:val="18"/>
          <w:lang w:val="nl-BE"/>
        </w:rPr>
        <w:t>Wanneer veranderingen worden ingediend voor de volledige module 3</w:t>
      </w:r>
      <w:r w:rsidR="00012778">
        <w:rPr>
          <w:color w:val="auto"/>
          <w:szCs w:val="18"/>
          <w:lang w:val="nl-BE"/>
        </w:rPr>
        <w:t>,</w:t>
      </w:r>
      <w:r w:rsidRPr="00CE595C">
        <w:rPr>
          <w:color w:val="auto"/>
          <w:szCs w:val="18"/>
          <w:lang w:val="nl-BE"/>
        </w:rPr>
        <w:t xml:space="preserve"> of wanneer een vergelijking tussen de huidige en de voorgestelde situatie te complex wordt, kan een algemene update van module 3 worden aangevraagd.</w:t>
      </w:r>
    </w:p>
    <w:p w:rsidR="00A16486" w:rsidRPr="00CE595C" w:rsidRDefault="00A16486" w:rsidP="00A16486">
      <w:pPr>
        <w:spacing w:after="0" w:line="240" w:lineRule="auto"/>
        <w:jc w:val="left"/>
        <w:rPr>
          <w:color w:val="auto"/>
          <w:szCs w:val="18"/>
          <w:lang w:val="nl-BE"/>
        </w:rPr>
      </w:pPr>
    </w:p>
    <w:p w:rsidR="00A16486" w:rsidRPr="00CE595C" w:rsidRDefault="00A16486" w:rsidP="00A16486">
      <w:pPr>
        <w:spacing w:after="0" w:line="240" w:lineRule="auto"/>
        <w:jc w:val="left"/>
        <w:rPr>
          <w:color w:val="auto"/>
          <w:szCs w:val="18"/>
          <w:lang w:val="nl-BE"/>
        </w:rPr>
      </w:pPr>
      <w:r w:rsidRPr="00CE595C">
        <w:rPr>
          <w:color w:val="auto"/>
          <w:szCs w:val="18"/>
          <w:lang w:val="nl-BE"/>
        </w:rPr>
        <w:t>Updates van module 3 in de revisie-/validatieprocedure worden ook beschouwd als algemene updates van module 3.</w:t>
      </w:r>
    </w:p>
    <w:p w:rsidR="00A16486" w:rsidRPr="00CE595C" w:rsidRDefault="00A16486" w:rsidP="00A16486">
      <w:pPr>
        <w:spacing w:after="0" w:line="240" w:lineRule="auto"/>
        <w:jc w:val="left"/>
        <w:rPr>
          <w:color w:val="auto"/>
          <w:szCs w:val="18"/>
          <w:lang w:val="nl-BE"/>
        </w:rPr>
      </w:pPr>
    </w:p>
    <w:p w:rsidR="0007116A" w:rsidRPr="00CE595C" w:rsidRDefault="0007116A" w:rsidP="0007116A">
      <w:pPr>
        <w:spacing w:after="0" w:line="240" w:lineRule="auto"/>
        <w:jc w:val="left"/>
        <w:rPr>
          <w:color w:val="auto"/>
          <w:szCs w:val="18"/>
          <w:lang w:val="nl-BE"/>
        </w:rPr>
      </w:pPr>
    </w:p>
    <w:p w:rsidR="00950A8D" w:rsidRPr="00CE595C" w:rsidRDefault="00A16486" w:rsidP="0007116A">
      <w:pPr>
        <w:spacing w:after="0" w:line="240" w:lineRule="auto"/>
        <w:jc w:val="left"/>
        <w:rPr>
          <w:b/>
          <w:color w:val="auto"/>
          <w:szCs w:val="18"/>
          <w:bdr w:val="single" w:sz="4" w:space="0" w:color="auto"/>
          <w:lang w:val="nl-BE"/>
        </w:rPr>
      </w:pPr>
      <w:r w:rsidRPr="00CE595C">
        <w:rPr>
          <w:b/>
          <w:color w:val="auto"/>
          <w:szCs w:val="18"/>
          <w:bdr w:val="single" w:sz="4" w:space="0" w:color="auto"/>
          <w:lang w:val="nl-BE"/>
        </w:rPr>
        <w:t>Validatie door het FAGG</w:t>
      </w:r>
      <w:r w:rsidR="00950A8D" w:rsidRPr="00CE595C">
        <w:rPr>
          <w:b/>
          <w:color w:val="auto"/>
          <w:szCs w:val="18"/>
          <w:bdr w:val="single" w:sz="4" w:space="0" w:color="auto"/>
          <w:lang w:val="nl-BE"/>
        </w:rPr>
        <w:t>:</w:t>
      </w:r>
    </w:p>
    <w:p w:rsidR="0007116A" w:rsidRPr="00CE595C" w:rsidRDefault="0007116A" w:rsidP="0007116A">
      <w:pPr>
        <w:spacing w:after="0" w:line="240" w:lineRule="auto"/>
        <w:jc w:val="left"/>
        <w:rPr>
          <w:b/>
          <w:color w:val="auto"/>
          <w:szCs w:val="18"/>
          <w:lang w:val="nl-BE"/>
        </w:rPr>
      </w:pPr>
    </w:p>
    <w:p w:rsidR="0007116A" w:rsidRPr="00CE595C" w:rsidRDefault="00A16486" w:rsidP="00A16486">
      <w:pPr>
        <w:jc w:val="left"/>
        <w:rPr>
          <w:color w:val="auto"/>
          <w:szCs w:val="18"/>
          <w:lang w:val="nl-BE"/>
        </w:rPr>
      </w:pPr>
      <w:r w:rsidRPr="00CE595C">
        <w:rPr>
          <w:color w:val="auto"/>
          <w:szCs w:val="18"/>
          <w:lang w:val="nl-BE"/>
        </w:rPr>
        <w:t>In de rubriek van het aanvraagformulier die de “scope” beschrijft, moet duidelijk worden vermeld dat een algemene update van module 3 wordt voorgesteld</w:t>
      </w:r>
      <w:r w:rsidR="0007116A" w:rsidRPr="00CE595C">
        <w:rPr>
          <w:color w:val="auto"/>
          <w:szCs w:val="18"/>
          <w:lang w:val="nl-BE"/>
        </w:rPr>
        <w:t>.</w:t>
      </w:r>
    </w:p>
    <w:p w:rsidR="00950A8D" w:rsidRPr="00CE595C" w:rsidRDefault="00A16486" w:rsidP="0007116A">
      <w:pPr>
        <w:jc w:val="left"/>
        <w:rPr>
          <w:color w:val="auto"/>
          <w:szCs w:val="18"/>
          <w:lang w:val="nl-BE"/>
        </w:rPr>
      </w:pPr>
      <w:r w:rsidRPr="00CE595C">
        <w:rPr>
          <w:b/>
          <w:color w:val="auto"/>
          <w:szCs w:val="18"/>
          <w:bdr w:val="single" w:sz="4" w:space="0" w:color="auto"/>
          <w:lang w:val="nl-BE"/>
        </w:rPr>
        <w:t>Kwaliteitsbeoordeling door het FAGG</w:t>
      </w:r>
      <w:r w:rsidR="00950A8D" w:rsidRPr="00CE595C">
        <w:rPr>
          <w:b/>
          <w:color w:val="auto"/>
          <w:szCs w:val="18"/>
          <w:bdr w:val="single" w:sz="4" w:space="0" w:color="auto"/>
          <w:lang w:val="nl-BE"/>
        </w:rPr>
        <w:t>:</w:t>
      </w:r>
    </w:p>
    <w:p w:rsidR="00A16486" w:rsidRPr="00CE595C" w:rsidRDefault="00A16486" w:rsidP="00A16486">
      <w:pPr>
        <w:jc w:val="left"/>
        <w:rPr>
          <w:color w:val="auto"/>
          <w:szCs w:val="18"/>
          <w:lang w:val="nl-BE"/>
        </w:rPr>
      </w:pPr>
      <w:r w:rsidRPr="00CE595C">
        <w:rPr>
          <w:color w:val="auto"/>
          <w:szCs w:val="18"/>
          <w:lang w:val="nl-BE"/>
        </w:rPr>
        <w:t xml:space="preserve">In dit geval wordt het dossier </w:t>
      </w:r>
      <w:r w:rsidRPr="00CE595C">
        <w:rPr>
          <w:b/>
          <w:color w:val="auto"/>
          <w:szCs w:val="18"/>
          <w:lang w:val="nl-BE"/>
        </w:rPr>
        <w:t>volledig beoordeeld</w:t>
      </w:r>
      <w:r w:rsidRPr="00CE595C">
        <w:rPr>
          <w:color w:val="auto"/>
          <w:szCs w:val="18"/>
          <w:lang w:val="nl-BE"/>
        </w:rPr>
        <w:t xml:space="preserve">. Indien er </w:t>
      </w:r>
      <w:r w:rsidRPr="00CE595C">
        <w:rPr>
          <w:b/>
          <w:color w:val="auto"/>
          <w:szCs w:val="18"/>
          <w:lang w:val="nl-BE"/>
        </w:rPr>
        <w:t>vragen</w:t>
      </w:r>
      <w:r w:rsidRPr="00CE595C">
        <w:rPr>
          <w:color w:val="auto"/>
          <w:szCs w:val="18"/>
          <w:lang w:val="nl-BE"/>
        </w:rPr>
        <w:t xml:space="preserve"> zijn, moeten deze </w:t>
      </w:r>
      <w:r w:rsidRPr="00CE595C">
        <w:rPr>
          <w:b/>
          <w:color w:val="auto"/>
          <w:szCs w:val="18"/>
          <w:lang w:val="nl-BE"/>
        </w:rPr>
        <w:t>tijdens de procedure worden behandeld</w:t>
      </w:r>
      <w:r w:rsidRPr="00CE595C">
        <w:rPr>
          <w:color w:val="auto"/>
          <w:szCs w:val="18"/>
          <w:lang w:val="nl-BE"/>
        </w:rPr>
        <w:t>.</w:t>
      </w:r>
    </w:p>
    <w:p w:rsidR="0007116A" w:rsidRPr="00CE595C" w:rsidRDefault="0019568A" w:rsidP="0019568A">
      <w:pPr>
        <w:numPr>
          <w:ilvl w:val="0"/>
          <w:numId w:val="2"/>
        </w:numPr>
        <w:spacing w:after="0" w:line="240" w:lineRule="auto"/>
        <w:jc w:val="left"/>
        <w:rPr>
          <w:b/>
          <w:color w:val="auto"/>
          <w:szCs w:val="18"/>
          <w:lang w:val="nl-BE"/>
        </w:rPr>
      </w:pPr>
      <w:r w:rsidRPr="00CE595C">
        <w:rPr>
          <w:b/>
          <w:color w:val="auto"/>
          <w:szCs w:val="18"/>
          <w:lang w:val="nl-BE"/>
        </w:rPr>
        <w:t xml:space="preserve">Omzetting van deel II in module 3 zonder inhoudelijke veranderingen </w:t>
      </w:r>
    </w:p>
    <w:p w:rsidR="0007116A" w:rsidRPr="00CE595C" w:rsidRDefault="0007116A" w:rsidP="0007116A">
      <w:pPr>
        <w:spacing w:after="0" w:line="240" w:lineRule="auto"/>
        <w:jc w:val="left"/>
        <w:rPr>
          <w:b/>
          <w:color w:val="auto"/>
          <w:szCs w:val="18"/>
          <w:lang w:val="nl-BE"/>
        </w:rPr>
      </w:pPr>
    </w:p>
    <w:p w:rsidR="0007116A" w:rsidRPr="00CE595C" w:rsidRDefault="0019568A" w:rsidP="0019568A">
      <w:pPr>
        <w:autoSpaceDE w:val="0"/>
        <w:autoSpaceDN w:val="0"/>
        <w:adjustRightInd w:val="0"/>
        <w:spacing w:after="0" w:line="240" w:lineRule="auto"/>
        <w:jc w:val="left"/>
        <w:rPr>
          <w:b/>
          <w:color w:val="auto"/>
          <w:szCs w:val="18"/>
          <w:lang w:val="nl-BE"/>
        </w:rPr>
      </w:pPr>
      <w:r w:rsidRPr="00CE595C">
        <w:rPr>
          <w:color w:val="auto"/>
          <w:szCs w:val="18"/>
          <w:lang w:val="nl-BE"/>
        </w:rPr>
        <w:t xml:space="preserve">Een derde mogelijkheid is een aanvraag waarbij de aanvrager een module 3 indient waarvan de inhoud volledig overeenkomt met een eerder goedgekeurd deel II. </w:t>
      </w:r>
    </w:p>
    <w:p w:rsidR="0007116A" w:rsidRPr="00CE595C" w:rsidRDefault="0007116A" w:rsidP="0007116A">
      <w:pPr>
        <w:spacing w:after="0" w:line="240" w:lineRule="auto"/>
        <w:jc w:val="left"/>
        <w:rPr>
          <w:b/>
          <w:color w:val="auto"/>
          <w:szCs w:val="18"/>
          <w:lang w:val="nl-BE"/>
        </w:rPr>
      </w:pPr>
    </w:p>
    <w:p w:rsidR="00950A8D" w:rsidRPr="00CE595C" w:rsidRDefault="00950A8D" w:rsidP="0007116A">
      <w:pPr>
        <w:spacing w:after="0" w:line="240" w:lineRule="auto"/>
        <w:jc w:val="left"/>
        <w:rPr>
          <w:b/>
          <w:color w:val="auto"/>
          <w:szCs w:val="18"/>
          <w:lang w:val="nl-BE"/>
        </w:rPr>
      </w:pPr>
      <w:r w:rsidRPr="00CE595C">
        <w:rPr>
          <w:b/>
          <w:color w:val="auto"/>
          <w:szCs w:val="18"/>
          <w:bdr w:val="single" w:sz="4" w:space="0" w:color="auto"/>
          <w:lang w:val="nl-BE"/>
        </w:rPr>
        <w:t>Validati</w:t>
      </w:r>
      <w:r w:rsidR="0019568A" w:rsidRPr="00CE595C">
        <w:rPr>
          <w:b/>
          <w:color w:val="auto"/>
          <w:szCs w:val="18"/>
          <w:bdr w:val="single" w:sz="4" w:space="0" w:color="auto"/>
          <w:lang w:val="nl-BE"/>
        </w:rPr>
        <w:t>e door het FAGG</w:t>
      </w:r>
      <w:r w:rsidRPr="00CE595C">
        <w:rPr>
          <w:b/>
          <w:color w:val="auto"/>
          <w:szCs w:val="18"/>
          <w:bdr w:val="single" w:sz="4" w:space="0" w:color="auto"/>
          <w:lang w:val="nl-BE"/>
        </w:rPr>
        <w:t>:</w:t>
      </w:r>
    </w:p>
    <w:p w:rsidR="0007116A" w:rsidRPr="00CE595C" w:rsidRDefault="0007116A" w:rsidP="0007116A">
      <w:pPr>
        <w:jc w:val="left"/>
        <w:rPr>
          <w:color w:val="auto"/>
          <w:szCs w:val="18"/>
          <w:lang w:val="nl-BE"/>
        </w:rPr>
      </w:pPr>
    </w:p>
    <w:p w:rsidR="0019568A" w:rsidRPr="00CE595C" w:rsidRDefault="0019568A" w:rsidP="0019568A">
      <w:pPr>
        <w:jc w:val="left"/>
        <w:rPr>
          <w:color w:val="auto"/>
          <w:szCs w:val="18"/>
          <w:lang w:val="nl-BE"/>
        </w:rPr>
      </w:pPr>
      <w:r w:rsidRPr="00CE595C">
        <w:rPr>
          <w:color w:val="auto"/>
          <w:szCs w:val="18"/>
          <w:lang w:val="nl-BE"/>
        </w:rPr>
        <w:t xml:space="preserve">In dit geval moet op het aanvraagformulier (rubriek “scope”) </w:t>
      </w:r>
      <w:r w:rsidRPr="00CE595C">
        <w:rPr>
          <w:b/>
          <w:color w:val="auto"/>
          <w:szCs w:val="18"/>
          <w:lang w:val="nl-BE"/>
        </w:rPr>
        <w:t>duidelijk</w:t>
      </w:r>
      <w:r w:rsidRPr="00CE595C">
        <w:rPr>
          <w:color w:val="auto"/>
          <w:szCs w:val="18"/>
          <w:lang w:val="nl-BE"/>
        </w:rPr>
        <w:t xml:space="preserve"> bevestigd worden dat de inhoud van het kwaliteitsdossier </w:t>
      </w:r>
      <w:r w:rsidRPr="00CE595C">
        <w:rPr>
          <w:b/>
          <w:color w:val="auto"/>
          <w:szCs w:val="18"/>
          <w:lang w:val="nl-BE"/>
        </w:rPr>
        <w:t>niet</w:t>
      </w:r>
      <w:r w:rsidRPr="00CE595C">
        <w:rPr>
          <w:color w:val="auto"/>
          <w:szCs w:val="18"/>
          <w:lang w:val="nl-BE"/>
        </w:rPr>
        <w:t xml:space="preserve"> wordt </w:t>
      </w:r>
      <w:r w:rsidRPr="00CE595C">
        <w:rPr>
          <w:b/>
          <w:color w:val="auto"/>
          <w:szCs w:val="18"/>
          <w:lang w:val="nl-BE"/>
        </w:rPr>
        <w:t>beïnvloed</w:t>
      </w:r>
      <w:r w:rsidR="00012778" w:rsidRPr="00012778">
        <w:rPr>
          <w:color w:val="auto"/>
          <w:szCs w:val="18"/>
          <w:lang w:val="nl-BE"/>
        </w:rPr>
        <w:t>.</w:t>
      </w:r>
      <w:r w:rsidRPr="00CE595C">
        <w:rPr>
          <w:color w:val="auto"/>
          <w:szCs w:val="18"/>
          <w:lang w:val="nl-BE"/>
        </w:rPr>
        <w:t xml:space="preserve"> </w:t>
      </w:r>
    </w:p>
    <w:p w:rsidR="00950A8D" w:rsidRPr="00CE595C" w:rsidRDefault="0019568A" w:rsidP="0007116A">
      <w:pPr>
        <w:jc w:val="left"/>
        <w:rPr>
          <w:color w:val="auto"/>
          <w:szCs w:val="18"/>
          <w:lang w:val="nl-BE"/>
        </w:rPr>
      </w:pPr>
      <w:r w:rsidRPr="00CE595C">
        <w:rPr>
          <w:b/>
          <w:color w:val="auto"/>
          <w:szCs w:val="18"/>
          <w:bdr w:val="single" w:sz="4" w:space="0" w:color="auto"/>
          <w:lang w:val="nl-BE"/>
        </w:rPr>
        <w:t>Kwaliteitsbeoordeling door het FAGG</w:t>
      </w:r>
      <w:r w:rsidR="00950A8D" w:rsidRPr="00CE595C">
        <w:rPr>
          <w:b/>
          <w:color w:val="auto"/>
          <w:szCs w:val="18"/>
          <w:bdr w:val="single" w:sz="4" w:space="0" w:color="auto"/>
          <w:lang w:val="nl-BE"/>
        </w:rPr>
        <w:t>:</w:t>
      </w:r>
    </w:p>
    <w:p w:rsidR="00012778" w:rsidRPr="00CE595C" w:rsidRDefault="0019568A" w:rsidP="0007116A">
      <w:pPr>
        <w:jc w:val="left"/>
        <w:rPr>
          <w:color w:val="auto"/>
          <w:szCs w:val="18"/>
          <w:lang w:val="nl-BE"/>
        </w:rPr>
      </w:pPr>
      <w:r w:rsidRPr="00CE595C">
        <w:rPr>
          <w:color w:val="auto"/>
          <w:szCs w:val="18"/>
          <w:lang w:val="nl-BE"/>
        </w:rPr>
        <w:t xml:space="preserve">In dit geval is </w:t>
      </w:r>
      <w:r w:rsidRPr="00CE595C">
        <w:rPr>
          <w:b/>
          <w:color w:val="auto"/>
          <w:szCs w:val="18"/>
          <w:lang w:val="nl-BE"/>
        </w:rPr>
        <w:t>geen beoordeling</w:t>
      </w:r>
      <w:r w:rsidRPr="00CE595C">
        <w:rPr>
          <w:color w:val="auto"/>
          <w:szCs w:val="18"/>
          <w:lang w:val="nl-BE"/>
        </w:rPr>
        <w:t xml:space="preserve"> noodzakelijk</w:t>
      </w:r>
      <w:r w:rsidR="0007116A" w:rsidRPr="00CE595C">
        <w:rPr>
          <w:color w:val="auto"/>
          <w:szCs w:val="18"/>
          <w:lang w:val="nl-BE"/>
        </w:rPr>
        <w:t>.</w:t>
      </w:r>
    </w:p>
    <w:p w:rsidR="00950A8D" w:rsidRPr="00CE595C" w:rsidRDefault="0019568A" w:rsidP="0019568A">
      <w:pPr>
        <w:pStyle w:val="Lijstalinea"/>
        <w:numPr>
          <w:ilvl w:val="0"/>
          <w:numId w:val="4"/>
        </w:numPr>
        <w:spacing w:after="0" w:line="240" w:lineRule="auto"/>
        <w:jc w:val="left"/>
        <w:rPr>
          <w:b/>
          <w:color w:val="auto"/>
          <w:szCs w:val="18"/>
          <w:lang w:val="nl-BE"/>
        </w:rPr>
      </w:pPr>
      <w:r w:rsidRPr="00CE595C">
        <w:rPr>
          <w:b/>
          <w:color w:val="auto"/>
          <w:szCs w:val="18"/>
          <w:lang w:val="nl-BE"/>
        </w:rPr>
        <w:t>Aanbevelingen aan aanvragers</w:t>
      </w:r>
    </w:p>
    <w:p w:rsidR="0007116A" w:rsidRPr="00CE595C" w:rsidRDefault="0007116A" w:rsidP="0007116A">
      <w:pPr>
        <w:jc w:val="left"/>
        <w:rPr>
          <w:color w:val="auto"/>
          <w:szCs w:val="18"/>
          <w:lang w:val="nl-BE"/>
        </w:rPr>
      </w:pPr>
    </w:p>
    <w:p w:rsidR="00950A8D" w:rsidRPr="00CE595C" w:rsidRDefault="0019568A" w:rsidP="0019568A">
      <w:pPr>
        <w:jc w:val="left"/>
        <w:rPr>
          <w:color w:val="auto"/>
          <w:szCs w:val="18"/>
          <w:lang w:val="nl-BE"/>
        </w:rPr>
      </w:pPr>
      <w:r w:rsidRPr="00CE595C">
        <w:rPr>
          <w:color w:val="auto"/>
          <w:szCs w:val="18"/>
          <w:lang w:val="nl-BE"/>
        </w:rPr>
        <w:t>Op het aanvraagformulier (rubriek “scope”) moet duidelijk worden aangegeven of de aanvraag</w:t>
      </w:r>
      <w:r w:rsidR="00950A8D" w:rsidRPr="00CE595C">
        <w:rPr>
          <w:color w:val="auto"/>
          <w:szCs w:val="18"/>
          <w:lang w:val="nl-BE"/>
        </w:rPr>
        <w:t>:</w:t>
      </w:r>
    </w:p>
    <w:p w:rsidR="0019568A" w:rsidRPr="00CE595C" w:rsidRDefault="0019568A" w:rsidP="0019568A">
      <w:pPr>
        <w:pStyle w:val="Lijstalinea"/>
        <w:numPr>
          <w:ilvl w:val="0"/>
          <w:numId w:val="6"/>
        </w:numPr>
        <w:jc w:val="left"/>
        <w:rPr>
          <w:color w:val="auto"/>
          <w:szCs w:val="18"/>
          <w:lang w:val="nl-BE"/>
        </w:rPr>
      </w:pPr>
      <w:r w:rsidRPr="00CE595C">
        <w:rPr>
          <w:color w:val="auto"/>
          <w:szCs w:val="18"/>
          <w:lang w:val="nl-BE"/>
        </w:rPr>
        <w:t>een type II wijziging is (met een specifieke en duidelijk omschreven scope)</w:t>
      </w:r>
      <w:r w:rsidR="00012778">
        <w:rPr>
          <w:color w:val="auto"/>
          <w:szCs w:val="18"/>
          <w:lang w:val="nl-BE"/>
        </w:rPr>
        <w:t>,</w:t>
      </w:r>
    </w:p>
    <w:p w:rsidR="0019568A" w:rsidRPr="00CE595C" w:rsidRDefault="0019568A" w:rsidP="0019568A">
      <w:pPr>
        <w:pStyle w:val="Lijstalinea"/>
        <w:numPr>
          <w:ilvl w:val="0"/>
          <w:numId w:val="6"/>
        </w:numPr>
        <w:jc w:val="left"/>
        <w:rPr>
          <w:color w:val="auto"/>
          <w:szCs w:val="18"/>
          <w:lang w:val="nl-BE"/>
        </w:rPr>
      </w:pPr>
      <w:r w:rsidRPr="00CE595C">
        <w:rPr>
          <w:color w:val="auto"/>
          <w:szCs w:val="18"/>
          <w:lang w:val="nl-BE"/>
        </w:rPr>
        <w:t>een algemene update van het kwaliteitsdossier is</w:t>
      </w:r>
      <w:r w:rsidR="00012778">
        <w:rPr>
          <w:color w:val="auto"/>
          <w:szCs w:val="18"/>
          <w:lang w:val="nl-BE"/>
        </w:rPr>
        <w:t>,</w:t>
      </w:r>
    </w:p>
    <w:p w:rsidR="00950A8D" w:rsidRPr="00CE595C" w:rsidRDefault="0019568A" w:rsidP="0007116A">
      <w:pPr>
        <w:pStyle w:val="Lijstalinea"/>
        <w:numPr>
          <w:ilvl w:val="0"/>
          <w:numId w:val="6"/>
        </w:numPr>
        <w:jc w:val="left"/>
        <w:rPr>
          <w:color w:val="auto"/>
          <w:szCs w:val="18"/>
          <w:lang w:val="nl-BE"/>
        </w:rPr>
      </w:pPr>
      <w:r w:rsidRPr="00CE595C">
        <w:rPr>
          <w:color w:val="auto"/>
          <w:szCs w:val="18"/>
          <w:lang w:val="nl-BE"/>
        </w:rPr>
        <w:t>een omzetting is van deel II formaat naar module 3 formaat zonder inhoudelijke veranderingen</w:t>
      </w:r>
      <w:r w:rsidR="00012778">
        <w:rPr>
          <w:color w:val="auto"/>
          <w:szCs w:val="18"/>
          <w:lang w:val="nl-BE"/>
        </w:rPr>
        <w:t>.</w:t>
      </w:r>
      <w:r w:rsidRPr="00CE595C">
        <w:rPr>
          <w:color w:val="auto"/>
          <w:szCs w:val="18"/>
          <w:lang w:val="nl-BE"/>
        </w:rPr>
        <w:t xml:space="preserve"> </w:t>
      </w:r>
    </w:p>
    <w:p w:rsidR="00950A8D" w:rsidRPr="00CE595C" w:rsidRDefault="0019568A" w:rsidP="0019568A">
      <w:pPr>
        <w:jc w:val="left"/>
        <w:rPr>
          <w:color w:val="auto"/>
          <w:szCs w:val="18"/>
          <w:lang w:val="nl-BE"/>
        </w:rPr>
      </w:pPr>
      <w:r w:rsidRPr="00CE595C">
        <w:rPr>
          <w:color w:val="auto"/>
          <w:szCs w:val="18"/>
          <w:lang w:val="nl-BE"/>
        </w:rPr>
        <w:lastRenderedPageBreak/>
        <w:t>Indien de categorie niet duidelijk is, kan dit het validatieproces van de aanvraag vertragen</w:t>
      </w:r>
      <w:r w:rsidR="00950A8D" w:rsidRPr="00CE595C">
        <w:rPr>
          <w:color w:val="auto"/>
          <w:szCs w:val="18"/>
          <w:lang w:val="nl-BE"/>
        </w:rPr>
        <w:t>.</w:t>
      </w:r>
    </w:p>
    <w:p w:rsidR="00950A8D" w:rsidRPr="00CE595C" w:rsidRDefault="0019568A" w:rsidP="0007116A">
      <w:pPr>
        <w:jc w:val="left"/>
        <w:rPr>
          <w:color w:val="auto"/>
          <w:szCs w:val="18"/>
          <w:lang w:val="nl-BE"/>
        </w:rPr>
      </w:pPr>
      <w:r w:rsidRPr="00CE595C">
        <w:rPr>
          <w:color w:val="auto"/>
          <w:szCs w:val="18"/>
          <w:lang w:val="nl-BE"/>
        </w:rPr>
        <w:t>Het beoordelingsniveau is afhankelijk van de categorie</w:t>
      </w:r>
      <w:r w:rsidR="00950A8D" w:rsidRPr="00CE595C">
        <w:rPr>
          <w:color w:val="auto"/>
          <w:szCs w:val="18"/>
          <w:lang w:val="nl-BE"/>
        </w:rPr>
        <w:t>.</w:t>
      </w:r>
    </w:p>
    <w:p w:rsidR="006D18CA" w:rsidRPr="00CE595C" w:rsidRDefault="006D18CA">
      <w:pPr>
        <w:rPr>
          <w:color w:val="auto"/>
          <w:lang w:val="nl-BE"/>
        </w:rPr>
      </w:pPr>
    </w:p>
    <w:sectPr w:rsidR="006D18CA" w:rsidRPr="00CE595C" w:rsidSect="00CA2117">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sidP="005F24D8">
      <w:pPr>
        <w:spacing w:after="0" w:line="240" w:lineRule="auto"/>
      </w:pPr>
      <w:r>
        <w:separator/>
      </w:r>
    </w:p>
  </w:endnote>
  <w:endnote w:type="continuationSeparator" w:id="0">
    <w:p w:rsidR="004A7970" w:rsidRDefault="004A7970"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A" w:rsidRPr="003470CE" w:rsidRDefault="0007116A" w:rsidP="004C26DC">
    <w:pPr>
      <w:pStyle w:val="Koptekst"/>
      <w:tabs>
        <w:tab w:val="clear" w:pos="4536"/>
        <w:tab w:val="clear" w:pos="9072"/>
        <w:tab w:val="center" w:pos="4819"/>
        <w:tab w:val="right" w:pos="9638"/>
      </w:tabs>
      <w:spacing w:line="324" w:lineRule="auto"/>
      <w:rPr>
        <w:rFonts w:ascii="Verdana" w:hAnsi="Verdana"/>
        <w:color w:val="729BC8"/>
        <w:sz w:val="14"/>
        <w:szCs w:val="14"/>
      </w:rPr>
    </w:pPr>
    <w:r>
      <w:rPr>
        <w:noProof/>
        <w:lang w:val="nl-BE" w:eastAsia="nl-BE"/>
      </w:rPr>
      <w:drawing>
        <wp:anchor distT="0" distB="0" distL="114300" distR="114300" simplePos="0" relativeHeight="251658240" behindDoc="0" locked="0" layoutInCell="1" allowOverlap="1">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470CE">
      <w:rPr>
        <w:rFonts w:ascii="Verdana" w:hAnsi="Verdana"/>
        <w:color w:val="729BC8"/>
        <w:sz w:val="14"/>
        <w:szCs w:val="14"/>
      </w:rPr>
      <w:t>famhp</w:t>
    </w:r>
    <w:proofErr w:type="spellEnd"/>
    <w:r w:rsidRPr="003470CE">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002225" w:rsidRPr="00002225">
      <w:rPr>
        <w:rFonts w:ascii="Verdana" w:hAnsi="Verdana"/>
        <w:noProof/>
        <w:color w:val="729BC8"/>
        <w:sz w:val="14"/>
        <w:szCs w:val="14"/>
        <w:lang w:val="fr-FR"/>
      </w:rPr>
      <w:t>4</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sidR="004A7970">
      <w:fldChar w:fldCharType="begin"/>
    </w:r>
    <w:r w:rsidR="004A7970">
      <w:instrText>NUMPAGES  \* Arabic  \* MERGEFORMAT</w:instrText>
    </w:r>
    <w:r w:rsidR="004A7970">
      <w:fldChar w:fldCharType="separate"/>
    </w:r>
    <w:r w:rsidR="00002225" w:rsidRPr="00002225">
      <w:rPr>
        <w:rFonts w:ascii="Verdana" w:hAnsi="Verdana"/>
        <w:noProof/>
        <w:color w:val="A6A6A6"/>
        <w:sz w:val="14"/>
        <w:szCs w:val="14"/>
        <w:lang w:val="fr-FR"/>
      </w:rPr>
      <w:t>4</w:t>
    </w:r>
    <w:r w:rsidR="004A7970">
      <w:rPr>
        <w:rFonts w:ascii="Verdana" w:hAnsi="Verdana"/>
        <w:noProof/>
        <w:color w:val="A6A6A6"/>
        <w:sz w:val="14"/>
        <w:szCs w:val="14"/>
        <w:lang w:val="fr-FR"/>
      </w:rPr>
      <w:fldChar w:fldCharType="end"/>
    </w:r>
    <w:r w:rsidRPr="003470CE">
      <w:rPr>
        <w:rFonts w:ascii="Verdana" w:hAnsi="Verdana"/>
        <w:color w:val="729BC8"/>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A" w:rsidRPr="003470CE" w:rsidRDefault="00715EA5" w:rsidP="004C26DC">
    <w:pPr>
      <w:pStyle w:val="Voettekst"/>
      <w:tabs>
        <w:tab w:val="clear" w:pos="4536"/>
        <w:tab w:val="clear" w:pos="9072"/>
        <w:tab w:val="center" w:pos="4819"/>
        <w:tab w:val="right" w:pos="9638"/>
      </w:tabs>
      <w:jc w:val="center"/>
      <w:rPr>
        <w:rFonts w:ascii="Verdana" w:hAnsi="Verdana"/>
        <w:sz w:val="14"/>
        <w:szCs w:val="14"/>
      </w:rPr>
    </w:pPr>
    <w:r w:rsidRPr="00AB38CA">
      <w:rPr>
        <w:rFonts w:ascii="Verdana" w:hAnsi="Verdana"/>
        <w:color w:val="A6A6A6"/>
        <w:sz w:val="14"/>
        <w:szCs w:val="14"/>
        <w:lang w:val="nl-BE"/>
      </w:rPr>
      <w:t>Ondernemingsnummer</w:t>
    </w:r>
    <w:r w:rsidR="0007116A">
      <w:rPr>
        <w:noProof/>
        <w:lang w:val="nl-BE" w:eastAsia="nl-BE"/>
      </w:rPr>
      <w:drawing>
        <wp:anchor distT="0" distB="0" distL="114300" distR="114300" simplePos="0" relativeHeight="251657216" behindDoc="0" locked="0" layoutInCell="1" allowOverlap="1">
          <wp:simplePos x="0" y="0"/>
          <wp:positionH relativeFrom="column">
            <wp:posOffset>6146800</wp:posOffset>
          </wp:positionH>
          <wp:positionV relativeFrom="paragraph">
            <wp:posOffset>36830</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0007116A" w:rsidRPr="003470CE">
      <w:rPr>
        <w:rFonts w:ascii="Verdana" w:hAnsi="Verdana"/>
        <w:color w:val="A6A6A6"/>
        <w:sz w:val="14"/>
        <w:szCs w:val="14"/>
        <w:lang w:val="en-US"/>
      </w:rPr>
      <w:t xml:space="preserve">: </w:t>
    </w:r>
    <w:r w:rsidR="0007116A" w:rsidRPr="003470CE">
      <w:rPr>
        <w:rFonts w:ascii="Verdana" w:hAnsi="Verdana"/>
        <w:color w:val="729BC8"/>
        <w:sz w:val="14"/>
        <w:szCs w:val="14"/>
        <w:lang w:val="en-US"/>
      </w:rPr>
      <w:t>BE 0884 579 424</w:t>
    </w:r>
    <w:r w:rsidR="0007116A" w:rsidRPr="003470CE">
      <w:rPr>
        <w:rFonts w:ascii="Verdana" w:hAnsi="Verdana"/>
        <w:color w:val="729BC8"/>
        <w:sz w:val="14"/>
        <w:szCs w:val="14"/>
      </w:rPr>
      <w:t xml:space="preserve">   </w:t>
    </w:r>
    <w:r w:rsidR="0007116A" w:rsidRPr="003470CE">
      <w:rPr>
        <w:rFonts w:ascii="Verdana" w:hAnsi="Verdana"/>
        <w:color w:val="729BC8"/>
        <w:sz w:val="14"/>
        <w:szCs w:val="14"/>
      </w:rPr>
      <w:tab/>
    </w:r>
    <w:r w:rsidR="0007116A" w:rsidRPr="003470CE">
      <w:rPr>
        <w:rFonts w:ascii="Verdana" w:hAnsi="Verdana"/>
        <w:color w:val="729BC8"/>
        <w:sz w:val="14"/>
        <w:szCs w:val="14"/>
      </w:rPr>
      <w:fldChar w:fldCharType="begin"/>
    </w:r>
    <w:r w:rsidR="0007116A" w:rsidRPr="003470CE">
      <w:rPr>
        <w:rFonts w:ascii="Verdana" w:hAnsi="Verdana"/>
        <w:color w:val="729BC8"/>
        <w:sz w:val="14"/>
        <w:szCs w:val="14"/>
      </w:rPr>
      <w:instrText>PAGE  \* Arabic  \* MERGEFORMAT</w:instrText>
    </w:r>
    <w:r w:rsidR="0007116A" w:rsidRPr="003470CE">
      <w:rPr>
        <w:rFonts w:ascii="Verdana" w:hAnsi="Verdana"/>
        <w:color w:val="729BC8"/>
        <w:sz w:val="14"/>
        <w:szCs w:val="14"/>
      </w:rPr>
      <w:fldChar w:fldCharType="separate"/>
    </w:r>
    <w:r w:rsidR="00002225" w:rsidRPr="00002225">
      <w:rPr>
        <w:rFonts w:ascii="Verdana" w:hAnsi="Verdana"/>
        <w:noProof/>
        <w:color w:val="729BC8"/>
        <w:sz w:val="14"/>
        <w:szCs w:val="14"/>
        <w:lang w:val="fr-FR"/>
      </w:rPr>
      <w:t>1</w:t>
    </w:r>
    <w:r w:rsidR="0007116A" w:rsidRPr="003470CE">
      <w:rPr>
        <w:rFonts w:ascii="Verdana" w:hAnsi="Verdana"/>
        <w:color w:val="729BC8"/>
        <w:sz w:val="14"/>
        <w:szCs w:val="14"/>
      </w:rPr>
      <w:fldChar w:fldCharType="end"/>
    </w:r>
    <w:r w:rsidR="0007116A" w:rsidRPr="003470CE">
      <w:rPr>
        <w:rFonts w:ascii="Verdana" w:hAnsi="Verdana"/>
        <w:sz w:val="14"/>
        <w:szCs w:val="14"/>
        <w:lang w:val="fr-FR"/>
      </w:rPr>
      <w:t xml:space="preserve"> </w:t>
    </w:r>
    <w:r w:rsidR="0007116A" w:rsidRPr="003470CE">
      <w:rPr>
        <w:rFonts w:ascii="Verdana" w:hAnsi="Verdana" w:cs="Verdana"/>
        <w:color w:val="A6A6A6"/>
        <w:sz w:val="14"/>
        <w:szCs w:val="14"/>
      </w:rPr>
      <w:t>|</w:t>
    </w:r>
    <w:r w:rsidR="0007116A" w:rsidRPr="003470CE">
      <w:rPr>
        <w:rFonts w:ascii="Verdana" w:hAnsi="Verdana"/>
        <w:color w:val="A6A6A6"/>
        <w:sz w:val="14"/>
        <w:szCs w:val="14"/>
        <w:lang w:val="fr-FR"/>
      </w:rPr>
      <w:t xml:space="preserve"> </w:t>
    </w:r>
    <w:r w:rsidR="004A7970">
      <w:fldChar w:fldCharType="begin"/>
    </w:r>
    <w:r w:rsidR="004A7970">
      <w:instrText>NUMPAGES  \* Arabic  \* MERGEFORMAT</w:instrText>
    </w:r>
    <w:r w:rsidR="004A7970">
      <w:fldChar w:fldCharType="separate"/>
    </w:r>
    <w:r w:rsidR="00002225" w:rsidRPr="00002225">
      <w:rPr>
        <w:rFonts w:ascii="Verdana" w:hAnsi="Verdana"/>
        <w:noProof/>
        <w:color w:val="A6A6A6"/>
        <w:sz w:val="14"/>
        <w:szCs w:val="14"/>
        <w:lang w:val="fr-FR"/>
      </w:rPr>
      <w:t>4</w:t>
    </w:r>
    <w:r w:rsidR="004A7970">
      <w:rPr>
        <w:rFonts w:ascii="Verdana" w:hAnsi="Verdana"/>
        <w:noProof/>
        <w:color w:val="A6A6A6"/>
        <w:sz w:val="14"/>
        <w:szCs w:val="14"/>
        <w:lang w:val="fr-FR"/>
      </w:rPr>
      <w:fldChar w:fldCharType="end"/>
    </w:r>
    <w:r w:rsidR="0007116A" w:rsidRPr="003470CE">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sidP="005F24D8">
      <w:pPr>
        <w:spacing w:after="0" w:line="240" w:lineRule="auto"/>
      </w:pPr>
      <w:r>
        <w:separator/>
      </w:r>
    </w:p>
  </w:footnote>
  <w:footnote w:type="continuationSeparator" w:id="0">
    <w:p w:rsidR="004A7970" w:rsidRDefault="004A7970" w:rsidP="005F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ook w:val="00A0" w:firstRow="1" w:lastRow="0" w:firstColumn="1" w:lastColumn="0" w:noHBand="0" w:noVBand="0"/>
    </w:tblPr>
    <w:tblGrid>
      <w:gridCol w:w="4928"/>
      <w:gridCol w:w="5420"/>
    </w:tblGrid>
    <w:tr w:rsidR="00CE595C" w:rsidRPr="000E581D" w:rsidTr="00A74252">
      <w:trPr>
        <w:trHeight w:val="1423"/>
      </w:trPr>
      <w:tc>
        <w:tcPr>
          <w:tcW w:w="4928" w:type="dxa"/>
        </w:tcPr>
        <w:p w:rsidR="00CE595C" w:rsidRPr="006639C2" w:rsidRDefault="00CE595C" w:rsidP="00CE595C">
          <w:pPr>
            <w:pStyle w:val="Koptekst"/>
            <w:rPr>
              <w:lang w:val="nl-BE"/>
            </w:rPr>
          </w:pPr>
          <w:r>
            <w:rPr>
              <w:noProof/>
              <w:lang w:val="nl-BE" w:eastAsia="nl-BE"/>
            </w:rPr>
            <w:drawing>
              <wp:inline distT="0" distB="0" distL="0" distR="0" wp14:anchorId="0885944A" wp14:editId="07969D93">
                <wp:extent cx="1821180" cy="853440"/>
                <wp:effectExtent l="0" t="0" r="7620" b="3810"/>
                <wp:docPr id="1"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53440"/>
                        </a:xfrm>
                        <a:prstGeom prst="rect">
                          <a:avLst/>
                        </a:prstGeom>
                        <a:noFill/>
                        <a:ln>
                          <a:noFill/>
                        </a:ln>
                      </pic:spPr>
                    </pic:pic>
                  </a:graphicData>
                </a:graphic>
              </wp:inline>
            </w:drawing>
          </w:r>
        </w:p>
      </w:tc>
      <w:tc>
        <w:tcPr>
          <w:tcW w:w="5420" w:type="dxa"/>
          <w:vMerge w:val="restart"/>
        </w:tcPr>
        <w:p w:rsidR="00CE595C" w:rsidRPr="00030286" w:rsidRDefault="00CE595C" w:rsidP="00CE595C">
          <w:pPr>
            <w:pStyle w:val="Koptekst"/>
            <w:ind w:left="175" w:right="-250"/>
            <w:rPr>
              <w:rFonts w:ascii="Verdana" w:hAnsi="Verdana"/>
              <w:color w:val="729BC8"/>
              <w:sz w:val="14"/>
              <w:szCs w:val="14"/>
              <w:lang w:val="nl-BE"/>
            </w:rPr>
          </w:pPr>
          <w:r>
            <w:rPr>
              <w:rFonts w:ascii="Verdana" w:hAnsi="Verdana"/>
              <w:color w:val="729BC8"/>
              <w:sz w:val="14"/>
              <w:szCs w:val="14"/>
              <w:lang w:val="nl-BE"/>
            </w:rPr>
            <w:t>f</w:t>
          </w:r>
          <w:r w:rsidRPr="00030286">
            <w:rPr>
              <w:rFonts w:ascii="Verdana" w:hAnsi="Verdana"/>
              <w:color w:val="729BC8"/>
              <w:sz w:val="14"/>
              <w:szCs w:val="14"/>
              <w:lang w:val="nl-BE"/>
            </w:rPr>
            <w:t>ederaal agentschap voor geneesmiddelen en gezondheidsproducten</w:t>
          </w:r>
        </w:p>
        <w:p w:rsidR="00CE595C" w:rsidRPr="00030286" w:rsidRDefault="00CE595C" w:rsidP="00CE595C">
          <w:pPr>
            <w:pStyle w:val="Koptekst"/>
            <w:ind w:left="175"/>
            <w:rPr>
              <w:rFonts w:ascii="Verdana" w:hAnsi="Verdana"/>
              <w:color w:val="729BC8"/>
              <w:sz w:val="14"/>
              <w:szCs w:val="14"/>
            </w:rPr>
          </w:pPr>
          <w:proofErr w:type="spellStart"/>
          <w:r w:rsidRPr="00030286">
            <w:rPr>
              <w:rFonts w:ascii="Verdana" w:hAnsi="Verdana"/>
              <w:color w:val="729BC8"/>
              <w:sz w:val="14"/>
              <w:szCs w:val="14"/>
            </w:rPr>
            <w:t>Eurostation</w:t>
          </w:r>
          <w:proofErr w:type="spellEnd"/>
          <w:r w:rsidRPr="00030286">
            <w:rPr>
              <w:rFonts w:ascii="Verdana" w:hAnsi="Verdana"/>
              <w:color w:val="729BC8"/>
              <w:sz w:val="14"/>
              <w:szCs w:val="14"/>
            </w:rPr>
            <w:t xml:space="preserve"> II - Victor </w:t>
          </w:r>
          <w:proofErr w:type="spellStart"/>
          <w:r w:rsidRPr="00030286">
            <w:rPr>
              <w:rFonts w:ascii="Verdana" w:hAnsi="Verdana"/>
              <w:color w:val="729BC8"/>
              <w:sz w:val="14"/>
              <w:szCs w:val="14"/>
            </w:rPr>
            <w:t>Hortaplein</w:t>
          </w:r>
          <w:proofErr w:type="spellEnd"/>
          <w:r w:rsidRPr="00030286">
            <w:rPr>
              <w:rFonts w:ascii="Verdana" w:hAnsi="Verdana"/>
              <w:color w:val="729BC8"/>
              <w:sz w:val="14"/>
              <w:szCs w:val="14"/>
            </w:rPr>
            <w:t xml:space="preserve"> 40/40</w:t>
          </w:r>
        </w:p>
        <w:p w:rsidR="00CE595C" w:rsidRPr="00030286" w:rsidRDefault="00CE595C" w:rsidP="00CE595C">
          <w:pPr>
            <w:pStyle w:val="Koptekst"/>
            <w:ind w:left="175"/>
            <w:rPr>
              <w:rFonts w:ascii="Verdana" w:hAnsi="Verdana"/>
              <w:color w:val="729BC8"/>
              <w:sz w:val="14"/>
              <w:szCs w:val="14"/>
            </w:rPr>
          </w:pPr>
          <w:r w:rsidRPr="00030286">
            <w:rPr>
              <w:rFonts w:ascii="Verdana" w:hAnsi="Verdana"/>
              <w:color w:val="729BC8"/>
              <w:sz w:val="14"/>
              <w:szCs w:val="14"/>
            </w:rPr>
            <w:t xml:space="preserve">1060 </w:t>
          </w:r>
          <w:r>
            <w:rPr>
              <w:rFonts w:ascii="Verdana" w:hAnsi="Verdana"/>
              <w:color w:val="729BC8"/>
              <w:sz w:val="14"/>
              <w:szCs w:val="14"/>
            </w:rPr>
            <w:t>BRUSSEL</w:t>
          </w:r>
        </w:p>
        <w:p w:rsidR="00CE595C" w:rsidRPr="00030286" w:rsidRDefault="004A7970" w:rsidP="00CE595C">
          <w:pPr>
            <w:pStyle w:val="Koptekst"/>
            <w:ind w:left="175"/>
          </w:pPr>
          <w:hyperlink r:id="rId2" w:history="1">
            <w:r w:rsidR="00CE595C" w:rsidRPr="00030286">
              <w:rPr>
                <w:rStyle w:val="Hyperlink"/>
                <w:rFonts w:ascii="Verdana" w:hAnsi="Verdana"/>
                <w:color w:val="4F81BD"/>
                <w:sz w:val="14"/>
                <w:szCs w:val="14"/>
              </w:rPr>
              <w:t>www.fagg.be</w:t>
            </w:r>
          </w:hyperlink>
        </w:p>
      </w:tc>
    </w:tr>
    <w:tr w:rsidR="00CE595C" w:rsidRPr="000E581D" w:rsidTr="00A74252">
      <w:trPr>
        <w:trHeight w:val="281"/>
      </w:trPr>
      <w:tc>
        <w:tcPr>
          <w:tcW w:w="4928" w:type="dxa"/>
          <w:tcMar>
            <w:left w:w="567" w:type="dxa"/>
          </w:tcMar>
        </w:tcPr>
        <w:p w:rsidR="00CE595C" w:rsidRPr="00CB01B1" w:rsidRDefault="00CE595C" w:rsidP="00CE595C">
          <w:pPr>
            <w:pStyle w:val="Koptekst"/>
            <w:rPr>
              <w:rFonts w:ascii="Verdana" w:hAnsi="Verdana"/>
              <w:color w:val="729BC8"/>
              <w:sz w:val="14"/>
              <w:szCs w:val="14"/>
            </w:rPr>
          </w:pPr>
          <w:r>
            <w:rPr>
              <w:noProof/>
              <w:lang w:val="nl-BE" w:eastAsia="nl-BE"/>
            </w:rPr>
            <w:drawing>
              <wp:anchor distT="0" distB="0" distL="114300" distR="114300" simplePos="0" relativeHeight="251660288" behindDoc="0" locked="0" layoutInCell="1" allowOverlap="1" wp14:anchorId="3827B6D7" wp14:editId="669E36E9">
                <wp:simplePos x="0" y="0"/>
                <wp:positionH relativeFrom="column">
                  <wp:posOffset>-289923</wp:posOffset>
                </wp:positionH>
                <wp:positionV relativeFrom="paragraph">
                  <wp:posOffset>36830</wp:posOffset>
                </wp:positionV>
                <wp:extent cx="3053080" cy="3479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0 jaar_v1_DEF.png"/>
                        <pic:cNvPicPr/>
                      </pic:nvPicPr>
                      <pic:blipFill>
                        <a:blip r:embed="rId3">
                          <a:extLst>
                            <a:ext uri="{28A0092B-C50C-407E-A947-70E740481C1C}">
                              <a14:useLocalDpi xmlns:a14="http://schemas.microsoft.com/office/drawing/2010/main" val="0"/>
                            </a:ext>
                          </a:extLst>
                        </a:blip>
                        <a:stretch>
                          <a:fillRect/>
                        </a:stretch>
                      </pic:blipFill>
                      <pic:spPr>
                        <a:xfrm>
                          <a:off x="0" y="0"/>
                          <a:ext cx="3053080" cy="347980"/>
                        </a:xfrm>
                        <a:prstGeom prst="rect">
                          <a:avLst/>
                        </a:prstGeom>
                      </pic:spPr>
                    </pic:pic>
                  </a:graphicData>
                </a:graphic>
                <wp14:sizeRelH relativeFrom="margin">
                  <wp14:pctWidth>0</wp14:pctWidth>
                </wp14:sizeRelH>
                <wp14:sizeRelV relativeFrom="margin">
                  <wp14:pctHeight>0</wp14:pctHeight>
                </wp14:sizeRelV>
              </wp:anchor>
            </w:drawing>
          </w:r>
        </w:p>
      </w:tc>
      <w:tc>
        <w:tcPr>
          <w:tcW w:w="5420" w:type="dxa"/>
          <w:vMerge/>
          <w:tcMar>
            <w:top w:w="0" w:type="dxa"/>
          </w:tcMar>
        </w:tcPr>
        <w:p w:rsidR="00CE595C" w:rsidRPr="00CB01B1" w:rsidRDefault="00CE595C" w:rsidP="00CE595C">
          <w:pPr>
            <w:pStyle w:val="Koptekst"/>
            <w:ind w:left="-108"/>
          </w:pPr>
        </w:p>
      </w:tc>
    </w:tr>
  </w:tbl>
  <w:p w:rsidR="00CE595C" w:rsidRPr="00680C6A" w:rsidRDefault="00CE595C" w:rsidP="00CE595C">
    <w:pPr>
      <w:pStyle w:val="Koptekst"/>
      <w:rPr>
        <w:rFonts w:ascii="Verdana" w:hAnsi="Verdana"/>
        <w:sz w:val="2"/>
        <w:szCs w:val="2"/>
      </w:rPr>
    </w:pPr>
  </w:p>
  <w:p w:rsidR="0007116A" w:rsidRPr="00CE595C" w:rsidRDefault="0007116A" w:rsidP="00CE59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212"/>
    <w:multiLevelType w:val="hybridMultilevel"/>
    <w:tmpl w:val="8AC42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203A42"/>
    <w:multiLevelType w:val="hybridMultilevel"/>
    <w:tmpl w:val="723252F6"/>
    <w:lvl w:ilvl="0" w:tplc="73D8BB78">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020226"/>
    <w:multiLevelType w:val="hybridMultilevel"/>
    <w:tmpl w:val="4E00AC60"/>
    <w:lvl w:ilvl="0" w:tplc="E642EE0E">
      <w:start w:val="1"/>
      <w:numFmt w:val="lowerLetter"/>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9A1D58"/>
    <w:multiLevelType w:val="hybridMultilevel"/>
    <w:tmpl w:val="491E8E4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353D7"/>
    <w:multiLevelType w:val="hybridMultilevel"/>
    <w:tmpl w:val="4EF6B53A"/>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DE62D67"/>
    <w:multiLevelType w:val="hybridMultilevel"/>
    <w:tmpl w:val="3C6EB60A"/>
    <w:lvl w:ilvl="0" w:tplc="57E8DDE6">
      <w:start w:val="1"/>
      <w:numFmt w:val="lowerLetter"/>
      <w:lvlText w:val="(%1)"/>
      <w:lvlJc w:val="left"/>
      <w:pPr>
        <w:ind w:left="1063" w:hanging="528"/>
      </w:pPr>
      <w:rPr>
        <w:rFonts w:hint="default"/>
      </w:r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02225"/>
    <w:rsid w:val="00012778"/>
    <w:rsid w:val="000131E0"/>
    <w:rsid w:val="00032B8C"/>
    <w:rsid w:val="00051E5F"/>
    <w:rsid w:val="0006317F"/>
    <w:rsid w:val="0007116A"/>
    <w:rsid w:val="000A37B6"/>
    <w:rsid w:val="000B73F7"/>
    <w:rsid w:val="000B74C9"/>
    <w:rsid w:val="000D6CDC"/>
    <w:rsid w:val="000F6E30"/>
    <w:rsid w:val="00137607"/>
    <w:rsid w:val="0019568A"/>
    <w:rsid w:val="001F0C75"/>
    <w:rsid w:val="00231A56"/>
    <w:rsid w:val="00251011"/>
    <w:rsid w:val="00260CFB"/>
    <w:rsid w:val="002A52BB"/>
    <w:rsid w:val="002D29F9"/>
    <w:rsid w:val="002D672C"/>
    <w:rsid w:val="002E1D78"/>
    <w:rsid w:val="00325A3B"/>
    <w:rsid w:val="00333947"/>
    <w:rsid w:val="00335443"/>
    <w:rsid w:val="0033645D"/>
    <w:rsid w:val="003470CE"/>
    <w:rsid w:val="003A5643"/>
    <w:rsid w:val="003C7716"/>
    <w:rsid w:val="003D09B8"/>
    <w:rsid w:val="003E3735"/>
    <w:rsid w:val="003F3498"/>
    <w:rsid w:val="004226B4"/>
    <w:rsid w:val="00450A2C"/>
    <w:rsid w:val="004A7970"/>
    <w:rsid w:val="004C1638"/>
    <w:rsid w:val="004C26DC"/>
    <w:rsid w:val="004C2B26"/>
    <w:rsid w:val="004C5B1A"/>
    <w:rsid w:val="004F30F6"/>
    <w:rsid w:val="00527CF9"/>
    <w:rsid w:val="00536E62"/>
    <w:rsid w:val="00551F79"/>
    <w:rsid w:val="00553E1C"/>
    <w:rsid w:val="005770B3"/>
    <w:rsid w:val="005936F9"/>
    <w:rsid w:val="005A745E"/>
    <w:rsid w:val="005D3966"/>
    <w:rsid w:val="005E0D17"/>
    <w:rsid w:val="005E405C"/>
    <w:rsid w:val="005F24D8"/>
    <w:rsid w:val="005F2816"/>
    <w:rsid w:val="006004FA"/>
    <w:rsid w:val="00696490"/>
    <w:rsid w:val="006B4BCD"/>
    <w:rsid w:val="006C295E"/>
    <w:rsid w:val="006D18CA"/>
    <w:rsid w:val="00715EA5"/>
    <w:rsid w:val="0073630D"/>
    <w:rsid w:val="00746B47"/>
    <w:rsid w:val="00760A14"/>
    <w:rsid w:val="00783B21"/>
    <w:rsid w:val="007869A9"/>
    <w:rsid w:val="007F50FE"/>
    <w:rsid w:val="008122B7"/>
    <w:rsid w:val="008627B6"/>
    <w:rsid w:val="0088412C"/>
    <w:rsid w:val="008C0483"/>
    <w:rsid w:val="008C0F07"/>
    <w:rsid w:val="008C6CA4"/>
    <w:rsid w:val="008D27A6"/>
    <w:rsid w:val="008D3583"/>
    <w:rsid w:val="008D5153"/>
    <w:rsid w:val="008F450E"/>
    <w:rsid w:val="009029DF"/>
    <w:rsid w:val="00950A8D"/>
    <w:rsid w:val="00957D1F"/>
    <w:rsid w:val="009724F0"/>
    <w:rsid w:val="009A4B05"/>
    <w:rsid w:val="009B4D7F"/>
    <w:rsid w:val="00A13043"/>
    <w:rsid w:val="00A16486"/>
    <w:rsid w:val="00A41EC8"/>
    <w:rsid w:val="00A672ED"/>
    <w:rsid w:val="00A7278F"/>
    <w:rsid w:val="00AE1991"/>
    <w:rsid w:val="00AE1E29"/>
    <w:rsid w:val="00AF076E"/>
    <w:rsid w:val="00B25890"/>
    <w:rsid w:val="00B91371"/>
    <w:rsid w:val="00BD19E8"/>
    <w:rsid w:val="00C21839"/>
    <w:rsid w:val="00C35613"/>
    <w:rsid w:val="00C43EC5"/>
    <w:rsid w:val="00C46FA7"/>
    <w:rsid w:val="00C967CA"/>
    <w:rsid w:val="00CA125B"/>
    <w:rsid w:val="00CA2117"/>
    <w:rsid w:val="00CE595C"/>
    <w:rsid w:val="00CF2260"/>
    <w:rsid w:val="00DB3FE8"/>
    <w:rsid w:val="00E22A90"/>
    <w:rsid w:val="00E253DB"/>
    <w:rsid w:val="00E620A4"/>
    <w:rsid w:val="00E640CD"/>
    <w:rsid w:val="00E80799"/>
    <w:rsid w:val="00ED7E3B"/>
    <w:rsid w:val="00F20613"/>
    <w:rsid w:val="00F25211"/>
    <w:rsid w:val="00F718A9"/>
    <w:rsid w:val="00F846CF"/>
    <w:rsid w:val="00F9315B"/>
    <w:rsid w:val="00FA77E1"/>
    <w:rsid w:val="00FB019E"/>
    <w:rsid w:val="00FB24DA"/>
    <w:rsid w:val="00FC0EFB"/>
    <w:rsid w:val="00FD647E"/>
    <w:rsid w:val="00FE0F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FCE189-9287-4B1C-B0FB-6BEECD6F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4D8"/>
    <w:pPr>
      <w:spacing w:after="200" w:line="300" w:lineRule="auto"/>
      <w:jc w:val="both"/>
    </w:pPr>
    <w:rPr>
      <w:rFonts w:ascii="Verdana" w:eastAsia="Times New Roman" w:hAnsi="Verdana"/>
      <w:color w:val="575757"/>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Lijstalinea">
    <w:name w:val="List Paragraph"/>
    <w:basedOn w:val="Standaard"/>
    <w:uiPriority w:val="34"/>
    <w:qFormat/>
    <w:rsid w:val="00950A8D"/>
    <w:pPr>
      <w:ind w:left="720"/>
      <w:contextualSpacing/>
    </w:pPr>
  </w:style>
  <w:style w:type="character" w:styleId="Hyperlink">
    <w:name w:val="Hyperlink"/>
    <w:basedOn w:val="Standaardalinea-lettertype"/>
    <w:uiPriority w:val="99"/>
    <w:rsid w:val="00CE59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agg.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1507</Words>
  <Characters>8289</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Correspondent</vt:lpstr>
      <vt:lpstr>Correspondent</vt:lpstr>
    </vt:vector>
  </TitlesOfParts>
  <Company>FAGG-AFMPS</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dc:title>
  <dc:subject/>
  <dc:creator>Drappier Céline</dc:creator>
  <cp:keywords/>
  <dc:description/>
  <cp:lastModifiedBy>Collin Jessica</cp:lastModifiedBy>
  <cp:revision>14</cp:revision>
  <cp:lastPrinted>2012-06-08T08:16:00Z</cp:lastPrinted>
  <dcterms:created xsi:type="dcterms:W3CDTF">2017-04-20T08:53:00Z</dcterms:created>
  <dcterms:modified xsi:type="dcterms:W3CDTF">2017-04-25T06:32:00Z</dcterms:modified>
</cp:coreProperties>
</file>