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Look w:val="04A0" w:firstRow="1" w:lastRow="0" w:firstColumn="1" w:lastColumn="0" w:noHBand="0" w:noVBand="1"/>
      </w:tblPr>
      <w:tblGrid>
        <w:gridCol w:w="2836"/>
        <w:gridCol w:w="7371"/>
      </w:tblGrid>
      <w:tr w:rsidR="00D15F45" w:rsidRPr="00565148" w14:paraId="740A6D22" w14:textId="77777777" w:rsidTr="00014813">
        <w:trPr>
          <w:trHeight w:val="408"/>
        </w:trPr>
        <w:tc>
          <w:tcPr>
            <w:tcW w:w="2836" w:type="dxa"/>
            <w:vAlign w:val="center"/>
          </w:tcPr>
          <w:p w14:paraId="2F11296B" w14:textId="77777777" w:rsidR="00D15F45" w:rsidRPr="007805CF" w:rsidRDefault="00D15F45" w:rsidP="00316445">
            <w:pPr>
              <w:spacing w:line="276" w:lineRule="auto"/>
              <w:jc w:val="both"/>
              <w:outlineLvl w:val="0"/>
              <w:rPr>
                <w:lang w:val="en-GB"/>
              </w:rPr>
            </w:pPr>
            <w:r w:rsidRPr="007805CF">
              <w:rPr>
                <w:lang w:val="en-GB"/>
              </w:rPr>
              <w:t>Product Name</w:t>
            </w:r>
          </w:p>
        </w:tc>
        <w:tc>
          <w:tcPr>
            <w:tcW w:w="7371" w:type="dxa"/>
            <w:vAlign w:val="center"/>
          </w:tcPr>
          <w:p w14:paraId="406EC1B7" w14:textId="170B7EB1" w:rsidR="00D15F45" w:rsidRPr="007805CF" w:rsidRDefault="00D15F45" w:rsidP="0010677B">
            <w:pPr>
              <w:spacing w:line="276" w:lineRule="auto"/>
              <w:jc w:val="both"/>
              <w:outlineLvl w:val="0"/>
              <w:rPr>
                <w:lang w:val="en-GB"/>
              </w:rPr>
            </w:pPr>
            <w:r w:rsidRPr="007805CF">
              <w:rPr>
                <w:lang w:val="en-GB"/>
              </w:rPr>
              <w:t>BLINCYTO®</w:t>
            </w:r>
          </w:p>
        </w:tc>
      </w:tr>
      <w:tr w:rsidR="00D15F45" w:rsidRPr="00565148" w14:paraId="1C9F26A3" w14:textId="77777777" w:rsidTr="00014813">
        <w:trPr>
          <w:trHeight w:val="408"/>
        </w:trPr>
        <w:tc>
          <w:tcPr>
            <w:tcW w:w="2836" w:type="dxa"/>
            <w:vAlign w:val="center"/>
          </w:tcPr>
          <w:p w14:paraId="4F09A185" w14:textId="77777777" w:rsidR="00D15F45" w:rsidRPr="007805CF" w:rsidRDefault="00D15F45" w:rsidP="00316445">
            <w:pPr>
              <w:spacing w:line="276" w:lineRule="auto"/>
              <w:jc w:val="both"/>
              <w:outlineLvl w:val="0"/>
              <w:rPr>
                <w:lang w:val="en-GB"/>
              </w:rPr>
            </w:pPr>
            <w:r w:rsidRPr="007805CF">
              <w:rPr>
                <w:lang w:val="en-GB"/>
              </w:rPr>
              <w:t>Active substance</w:t>
            </w:r>
          </w:p>
        </w:tc>
        <w:tc>
          <w:tcPr>
            <w:tcW w:w="7371" w:type="dxa"/>
            <w:vAlign w:val="center"/>
          </w:tcPr>
          <w:p w14:paraId="3F864202" w14:textId="77777777" w:rsidR="00D15F45" w:rsidRPr="007805CF" w:rsidRDefault="00D15F45" w:rsidP="0010677B">
            <w:pPr>
              <w:spacing w:line="276" w:lineRule="auto"/>
              <w:jc w:val="both"/>
              <w:outlineLvl w:val="0"/>
              <w:rPr>
                <w:lang w:val="en-GB"/>
              </w:rPr>
            </w:pPr>
            <w:r w:rsidRPr="007805CF">
              <w:rPr>
                <w:lang w:val="en-GB"/>
              </w:rPr>
              <w:t>blinatumomab</w:t>
            </w:r>
          </w:p>
        </w:tc>
      </w:tr>
      <w:tr w:rsidR="008A7AB3" w:rsidRPr="004800B4" w14:paraId="0F804F13" w14:textId="77777777" w:rsidTr="006903EB">
        <w:tc>
          <w:tcPr>
            <w:tcW w:w="2836" w:type="dxa"/>
            <w:vAlign w:val="center"/>
          </w:tcPr>
          <w:p w14:paraId="209A01E0" w14:textId="77777777" w:rsidR="008A7AB3" w:rsidRPr="007805CF" w:rsidRDefault="008A7AB3" w:rsidP="00316445">
            <w:pPr>
              <w:spacing w:line="276" w:lineRule="auto"/>
              <w:jc w:val="both"/>
              <w:outlineLvl w:val="0"/>
              <w:rPr>
                <w:lang w:val="en-GB"/>
              </w:rPr>
            </w:pPr>
            <w:r w:rsidRPr="007805CF">
              <w:rPr>
                <w:lang w:val="en-GB"/>
              </w:rPr>
              <w:t>Indication and conditions of use</w:t>
            </w:r>
          </w:p>
        </w:tc>
        <w:tc>
          <w:tcPr>
            <w:tcW w:w="7371" w:type="dxa"/>
            <w:vAlign w:val="center"/>
          </w:tcPr>
          <w:p w14:paraId="43FFA179" w14:textId="77777777" w:rsidR="005170EF" w:rsidRPr="007805CF" w:rsidRDefault="005170EF" w:rsidP="0010677B">
            <w:pPr>
              <w:spacing w:line="276" w:lineRule="auto"/>
              <w:jc w:val="both"/>
              <w:outlineLvl w:val="0"/>
              <w:rPr>
                <w:lang w:val="en-GB"/>
              </w:rPr>
            </w:pPr>
            <w:r w:rsidRPr="007805CF">
              <w:rPr>
                <w:u w:val="single"/>
                <w:lang w:val="en-GB"/>
              </w:rPr>
              <w:t>Indication</w:t>
            </w:r>
            <w:r w:rsidRPr="007805CF">
              <w:rPr>
                <w:lang w:val="en-GB"/>
              </w:rPr>
              <w:t>: Treatment of adults with Philadelphia chromosome negative (Ph</w:t>
            </w:r>
            <w:r w:rsidRPr="007805CF">
              <w:rPr>
                <w:vertAlign w:val="superscript"/>
                <w:lang w:val="en-GB"/>
              </w:rPr>
              <w:t>-</w:t>
            </w:r>
            <w:r w:rsidRPr="007805CF">
              <w:rPr>
                <w:lang w:val="en-GB"/>
              </w:rPr>
              <w:t>) CD19 positive B-precursor acute lymphoblastic leukemia (ALL) in first or second complete remission with minimal residual disease (MRD) greater than or equal to 0.1%.</w:t>
            </w:r>
          </w:p>
          <w:p w14:paraId="656286DB" w14:textId="77777777" w:rsidR="00F62F9A" w:rsidRPr="007805CF" w:rsidRDefault="00F62F9A" w:rsidP="0010677B">
            <w:pPr>
              <w:spacing w:line="276" w:lineRule="auto"/>
              <w:jc w:val="both"/>
              <w:outlineLvl w:val="0"/>
              <w:rPr>
                <w:lang w:val="en-GB"/>
              </w:rPr>
            </w:pPr>
          </w:p>
          <w:p w14:paraId="0FDC60F8" w14:textId="77777777" w:rsidR="003E4B36" w:rsidRPr="007805CF" w:rsidRDefault="00F62F9A" w:rsidP="0010677B">
            <w:pPr>
              <w:autoSpaceDE w:val="0"/>
              <w:autoSpaceDN w:val="0"/>
              <w:adjustRightInd w:val="0"/>
              <w:spacing w:line="276" w:lineRule="auto"/>
              <w:jc w:val="both"/>
              <w:rPr>
                <w:rFonts w:cs="Arial"/>
                <w:lang w:val="en-GB"/>
              </w:rPr>
            </w:pPr>
            <w:r w:rsidRPr="007805CF">
              <w:rPr>
                <w:u w:val="single"/>
                <w:lang w:val="en-GB"/>
              </w:rPr>
              <w:t>Conditions of use</w:t>
            </w:r>
            <w:r w:rsidRPr="007805CF">
              <w:rPr>
                <w:lang w:val="en-GB"/>
              </w:rPr>
              <w:t xml:space="preserve">: </w:t>
            </w:r>
            <w:r w:rsidR="00DF5B4C" w:rsidRPr="007805CF">
              <w:rPr>
                <w:lang w:val="en-GB"/>
              </w:rPr>
              <w:t>Blinatumomab</w:t>
            </w:r>
            <w:r w:rsidR="003E4B36" w:rsidRPr="007805CF">
              <w:rPr>
                <w:rFonts w:cs="Arial"/>
                <w:lang w:val="en-GB"/>
              </w:rPr>
              <w:t xml:space="preserve"> is administered as a continuous intravenous infusion delivered at a constant flow rate using an infusion pump, over a period of up to 96 hours. </w:t>
            </w:r>
            <w:r w:rsidR="00DF5B4C" w:rsidRPr="007805CF">
              <w:rPr>
                <w:rFonts w:cs="Arial"/>
                <w:lang w:val="en-GB"/>
              </w:rPr>
              <w:t xml:space="preserve">Patients will receive at least one treatment cycle. </w:t>
            </w:r>
            <w:r w:rsidR="003E4B36" w:rsidRPr="007805CF">
              <w:rPr>
                <w:rFonts w:cs="Arial"/>
                <w:lang w:val="en-GB"/>
              </w:rPr>
              <w:t xml:space="preserve">A single cycle of treatment is 4 weeks of continuous infusion. Each cycle of treatment is separated by a 2 week treatment-free interval. Patients not undergoing haematopoietic stem cell transplantation (HSCT) may receive up to 4 cycles of blinatumomab treatment. If patients are suitable for allogeneic HSCT after treatment with at least one treatment cycle of blinatumomab, they may undergo allogeneic HSCT instead of receiving further cycles of blinatumomab. </w:t>
            </w:r>
          </w:p>
          <w:p w14:paraId="1480C2AB" w14:textId="77777777" w:rsidR="003E4B36" w:rsidRPr="007805CF" w:rsidRDefault="003E4B36" w:rsidP="0010677B">
            <w:pPr>
              <w:autoSpaceDE w:val="0"/>
              <w:autoSpaceDN w:val="0"/>
              <w:adjustRightInd w:val="0"/>
              <w:spacing w:line="276" w:lineRule="auto"/>
              <w:jc w:val="both"/>
              <w:rPr>
                <w:rFonts w:cs="Arial"/>
                <w:lang w:val="en-GB"/>
              </w:rPr>
            </w:pPr>
          </w:p>
          <w:p w14:paraId="2AB8D2EB" w14:textId="77777777" w:rsidR="008A7AB3" w:rsidRPr="007805CF" w:rsidRDefault="003E4B36" w:rsidP="0010677B">
            <w:pPr>
              <w:autoSpaceDE w:val="0"/>
              <w:autoSpaceDN w:val="0"/>
              <w:adjustRightInd w:val="0"/>
              <w:spacing w:line="276" w:lineRule="auto"/>
              <w:jc w:val="both"/>
              <w:rPr>
                <w:lang w:val="en-GB"/>
              </w:rPr>
            </w:pPr>
            <w:r w:rsidRPr="007805CF">
              <w:rPr>
                <w:rFonts w:cs="Arial"/>
                <w:lang w:val="en-GB"/>
              </w:rPr>
              <w:t>The recommended dose of blinatumomab is 28 </w:t>
            </w:r>
            <w:r w:rsidR="00DF5B4C" w:rsidRPr="007805CF">
              <w:rPr>
                <w:rFonts w:cs="Arial"/>
                <w:lang w:val="en-GB"/>
              </w:rPr>
              <w:t>µ</w:t>
            </w:r>
            <w:r w:rsidRPr="007805CF">
              <w:rPr>
                <w:rFonts w:cs="Arial"/>
                <w:lang w:val="en-GB"/>
              </w:rPr>
              <w:t>g/day for all treatment cycles.</w:t>
            </w:r>
            <w:r w:rsidR="007B6F46" w:rsidRPr="007805CF">
              <w:rPr>
                <w:lang w:val="en-GB"/>
              </w:rPr>
              <w:t xml:space="preserve"> </w:t>
            </w:r>
          </w:p>
        </w:tc>
      </w:tr>
      <w:tr w:rsidR="00E155CA" w:rsidRPr="004800B4" w14:paraId="06CF0C9E" w14:textId="77777777" w:rsidTr="006903EB">
        <w:tc>
          <w:tcPr>
            <w:tcW w:w="2836" w:type="dxa"/>
            <w:vAlign w:val="center"/>
          </w:tcPr>
          <w:p w14:paraId="48664D3D" w14:textId="77777777" w:rsidR="00E155CA" w:rsidRPr="007805CF" w:rsidRDefault="00E155CA" w:rsidP="00316445">
            <w:pPr>
              <w:spacing w:line="276" w:lineRule="auto"/>
              <w:jc w:val="both"/>
              <w:outlineLvl w:val="0"/>
              <w:rPr>
                <w:lang w:val="en-GB"/>
              </w:rPr>
            </w:pPr>
            <w:r w:rsidRPr="007805CF">
              <w:rPr>
                <w:lang w:val="en-GB"/>
              </w:rPr>
              <w:t>Conditions, delays and further rules for participation of patients</w:t>
            </w:r>
          </w:p>
        </w:tc>
        <w:tc>
          <w:tcPr>
            <w:tcW w:w="7371" w:type="dxa"/>
            <w:vAlign w:val="center"/>
          </w:tcPr>
          <w:p w14:paraId="17AE05FD" w14:textId="77777777" w:rsidR="00F62F9A" w:rsidRPr="007805CF" w:rsidRDefault="00F62F9A" w:rsidP="0010677B">
            <w:pPr>
              <w:spacing w:line="276" w:lineRule="auto"/>
              <w:jc w:val="both"/>
              <w:outlineLvl w:val="0"/>
              <w:rPr>
                <w:u w:val="single"/>
                <w:lang w:val="en-GB"/>
              </w:rPr>
            </w:pPr>
            <w:r w:rsidRPr="007805CF">
              <w:rPr>
                <w:u w:val="single"/>
                <w:lang w:val="en-GB"/>
              </w:rPr>
              <w:t>Inclusion criteria</w:t>
            </w:r>
            <w:r w:rsidRPr="007805CF">
              <w:rPr>
                <w:lang w:val="en-GB"/>
              </w:rPr>
              <w:t>:</w:t>
            </w:r>
          </w:p>
          <w:p w14:paraId="0A2872CF" w14:textId="77722DB4" w:rsidR="00DF5B4C" w:rsidRPr="007805CF" w:rsidRDefault="00DF5B4C" w:rsidP="0010677B">
            <w:pPr>
              <w:pStyle w:val="ListParagraph"/>
              <w:numPr>
                <w:ilvl w:val="0"/>
                <w:numId w:val="7"/>
              </w:numPr>
              <w:spacing w:line="276" w:lineRule="auto"/>
              <w:ind w:left="425" w:hanging="425"/>
              <w:jc w:val="both"/>
              <w:rPr>
                <w:rFonts w:cs="Arial"/>
                <w:bCs/>
                <w:lang w:val="en-GB"/>
              </w:rPr>
            </w:pPr>
            <w:r w:rsidRPr="007805CF">
              <w:rPr>
                <w:rFonts w:cs="Arial"/>
                <w:bCs/>
                <w:lang w:val="en-GB"/>
              </w:rPr>
              <w:t>Patients with</w:t>
            </w:r>
            <w:r w:rsidR="00E536BD" w:rsidRPr="007805CF">
              <w:rPr>
                <w:rFonts w:cs="Arial"/>
                <w:bCs/>
                <w:lang w:val="en-GB"/>
              </w:rPr>
              <w:t xml:space="preserve"> Philadelphia chromosome </w:t>
            </w:r>
            <w:r w:rsidR="001A368D" w:rsidRPr="007805CF">
              <w:rPr>
                <w:rFonts w:cs="Arial"/>
                <w:bCs/>
                <w:lang w:val="en-GB"/>
              </w:rPr>
              <w:t>negative</w:t>
            </w:r>
            <w:r w:rsidR="00D603F4" w:rsidRPr="007805CF">
              <w:rPr>
                <w:rFonts w:cs="Arial"/>
                <w:bCs/>
                <w:lang w:val="en-GB"/>
              </w:rPr>
              <w:t xml:space="preserve"> CD 19 positive</w:t>
            </w:r>
            <w:r w:rsidR="0083676D" w:rsidRPr="007805CF">
              <w:rPr>
                <w:rFonts w:cs="Arial"/>
                <w:bCs/>
                <w:lang w:val="en-GB"/>
              </w:rPr>
              <w:t xml:space="preserve"> B</w:t>
            </w:r>
            <w:r w:rsidR="0083676D" w:rsidRPr="007805CF">
              <w:rPr>
                <w:rFonts w:cs="Arial"/>
                <w:bCs/>
                <w:lang w:val="en-GB"/>
              </w:rPr>
              <w:noBreakHyphen/>
            </w:r>
            <w:r w:rsidRPr="007805CF">
              <w:rPr>
                <w:rFonts w:cs="Arial"/>
                <w:bCs/>
                <w:lang w:val="en-GB"/>
              </w:rPr>
              <w:t xml:space="preserve">precursor ALL in </w:t>
            </w:r>
            <w:r w:rsidR="0083676D" w:rsidRPr="007805CF">
              <w:rPr>
                <w:rFonts w:cs="Arial"/>
                <w:bCs/>
                <w:lang w:val="en-GB"/>
              </w:rPr>
              <w:t xml:space="preserve">first or second </w:t>
            </w:r>
            <w:r w:rsidRPr="007805CF">
              <w:rPr>
                <w:rFonts w:cs="Arial"/>
                <w:bCs/>
                <w:lang w:val="en-GB"/>
              </w:rPr>
              <w:t xml:space="preserve">complete hematological remission </w:t>
            </w:r>
            <w:r w:rsidR="00D603F4" w:rsidRPr="007805CF">
              <w:rPr>
                <w:rFonts w:cs="Arial"/>
                <w:bCs/>
                <w:lang w:val="en-GB"/>
              </w:rPr>
              <w:t>(defined as &lt; 5% blasts in bone marrow, absolute neutrophil count ≥ 1,000/microlitres, platelets ≥ 50,000/microlitres, and haemoglobin level ≥ 9 g/dL)</w:t>
            </w:r>
            <w:r w:rsidRPr="007805CF">
              <w:rPr>
                <w:rFonts w:cs="Arial"/>
                <w:bCs/>
                <w:lang w:val="en-GB"/>
              </w:rPr>
              <w:t xml:space="preserve"> after at least three intense</w:t>
            </w:r>
            <w:r w:rsidR="0079263E" w:rsidRPr="007805CF">
              <w:rPr>
                <w:rFonts w:cs="Arial"/>
                <w:bCs/>
                <w:lang w:val="en-GB"/>
              </w:rPr>
              <w:t>*</w:t>
            </w:r>
            <w:r w:rsidRPr="007805CF">
              <w:rPr>
                <w:rFonts w:cs="Arial"/>
                <w:bCs/>
                <w:lang w:val="en-GB"/>
              </w:rPr>
              <w:t xml:space="preserve"> chemotherapy blocks</w:t>
            </w:r>
            <w:r w:rsidR="00D3754D" w:rsidRPr="007805CF">
              <w:rPr>
                <w:rFonts w:cs="Arial"/>
                <w:bCs/>
                <w:lang w:val="en-GB"/>
              </w:rPr>
              <w:t xml:space="preserve"> </w:t>
            </w:r>
            <w:r w:rsidR="008A3837" w:rsidRPr="007805CF">
              <w:rPr>
                <w:rFonts w:cs="Arial"/>
                <w:bCs/>
                <w:lang w:val="en-GB"/>
              </w:rPr>
              <w:t xml:space="preserve">(e.g. GMALL </w:t>
            </w:r>
            <w:r w:rsidR="0083676D" w:rsidRPr="007805CF">
              <w:rPr>
                <w:rFonts w:cs="Arial"/>
                <w:bCs/>
                <w:lang w:val="en-GB"/>
              </w:rPr>
              <w:t>induction I</w:t>
            </w:r>
            <w:r w:rsidR="0083676D" w:rsidRPr="007805CF">
              <w:rPr>
                <w:rFonts w:cs="Arial"/>
                <w:bCs/>
                <w:lang w:val="en-GB"/>
              </w:rPr>
              <w:noBreakHyphen/>
            </w:r>
            <w:r w:rsidR="008A3837" w:rsidRPr="007805CF">
              <w:rPr>
                <w:rFonts w:cs="Arial"/>
                <w:bCs/>
                <w:lang w:val="en-GB"/>
              </w:rPr>
              <w:t>II/consolidation I, induction/intensification/consolidation or three blocks of Hyper CVAD)</w:t>
            </w:r>
          </w:p>
          <w:p w14:paraId="4CC93602" w14:textId="035FEC0D" w:rsidR="00DF5B4C" w:rsidRPr="007805CF" w:rsidRDefault="00DF5B4C" w:rsidP="0010677B">
            <w:pPr>
              <w:pStyle w:val="ListParagraph"/>
              <w:numPr>
                <w:ilvl w:val="0"/>
                <w:numId w:val="7"/>
              </w:numPr>
              <w:spacing w:line="276" w:lineRule="auto"/>
              <w:ind w:left="425" w:hanging="425"/>
              <w:jc w:val="both"/>
              <w:rPr>
                <w:rFonts w:cs="Arial"/>
                <w:bCs/>
                <w:lang w:val="en-GB"/>
              </w:rPr>
            </w:pPr>
            <w:r w:rsidRPr="007805CF">
              <w:rPr>
                <w:rFonts w:cs="Arial"/>
                <w:bCs/>
                <w:lang w:val="en-GB"/>
              </w:rPr>
              <w:t>Presence of minimal residual disease (MRD) at a level of ≥</w:t>
            </w:r>
            <w:r w:rsidR="005A497D" w:rsidRPr="007805CF">
              <w:rPr>
                <w:rFonts w:cs="Arial"/>
                <w:bCs/>
                <w:lang w:val="en-GB"/>
              </w:rPr>
              <w:t xml:space="preserve"> </w:t>
            </w:r>
            <w:r w:rsidR="00D603F4" w:rsidRPr="007805CF">
              <w:rPr>
                <w:rFonts w:cs="Arial"/>
                <w:bCs/>
                <w:lang w:val="en-GB"/>
              </w:rPr>
              <w:t>0.1%</w:t>
            </w:r>
            <w:r w:rsidRPr="007805CF">
              <w:rPr>
                <w:rFonts w:cs="Arial"/>
                <w:bCs/>
                <w:lang w:val="en-GB"/>
              </w:rPr>
              <w:t xml:space="preserve"> documented after an interval of at least 2 weeks from </w:t>
            </w:r>
            <w:r w:rsidR="005A497D" w:rsidRPr="007805CF">
              <w:rPr>
                <w:rFonts w:cs="Arial"/>
                <w:bCs/>
                <w:lang w:val="en-GB"/>
              </w:rPr>
              <w:t xml:space="preserve">the </w:t>
            </w:r>
            <w:r w:rsidRPr="007805CF">
              <w:rPr>
                <w:rFonts w:cs="Arial"/>
                <w:bCs/>
                <w:lang w:val="en-GB"/>
              </w:rPr>
              <w:t>last systemic chemotherapy</w:t>
            </w:r>
            <w:r w:rsidR="007A0A3D" w:rsidRPr="007805CF">
              <w:rPr>
                <w:rFonts w:cs="Arial"/>
                <w:bCs/>
                <w:lang w:val="en-GB"/>
              </w:rPr>
              <w:t xml:space="preserve"> </w:t>
            </w:r>
            <w:r w:rsidR="00AC18B7" w:rsidRPr="007805CF">
              <w:rPr>
                <w:rFonts w:cs="Arial"/>
                <w:iCs/>
                <w:lang w:val="en-GB"/>
              </w:rPr>
              <w:t>by a validated methodology and test</w:t>
            </w:r>
            <w:r w:rsidR="00D603F4" w:rsidRPr="007805CF">
              <w:rPr>
                <w:rFonts w:cs="Arial"/>
                <w:iCs/>
                <w:lang w:val="en-GB"/>
              </w:rPr>
              <w:t xml:space="preserve"> with minimum sensitivity of 10</w:t>
            </w:r>
            <w:r w:rsidR="00D603F4" w:rsidRPr="007805CF">
              <w:rPr>
                <w:rFonts w:cs="Arial"/>
                <w:iCs/>
                <w:vertAlign w:val="superscript"/>
                <w:lang w:val="en-GB"/>
              </w:rPr>
              <w:t>-4</w:t>
            </w:r>
            <w:r w:rsidR="00D603F4" w:rsidRPr="007805CF">
              <w:rPr>
                <w:rFonts w:ascii="Arial" w:hAnsi="Arial" w:cs="Arial"/>
                <w:iCs/>
                <w:lang w:val="en-GB"/>
              </w:rPr>
              <w:t xml:space="preserve"> </w:t>
            </w:r>
            <w:r w:rsidR="00AC18B7" w:rsidRPr="007805CF">
              <w:rPr>
                <w:rFonts w:cs="Arial"/>
                <w:iCs/>
                <w:lang w:val="en-GB"/>
              </w:rPr>
              <w:t>performed in a specialized treatment center with access to laboratory that has expertise in MRD assays</w:t>
            </w:r>
          </w:p>
          <w:p w14:paraId="5E29B727" w14:textId="77777777" w:rsidR="00DF5B4C" w:rsidRPr="007805CF" w:rsidRDefault="00DF5B4C" w:rsidP="0010677B">
            <w:pPr>
              <w:pStyle w:val="ListParagraph"/>
              <w:numPr>
                <w:ilvl w:val="0"/>
                <w:numId w:val="7"/>
              </w:numPr>
              <w:spacing w:line="276" w:lineRule="auto"/>
              <w:ind w:left="425" w:hanging="425"/>
              <w:jc w:val="both"/>
              <w:rPr>
                <w:rFonts w:ascii="Calibri" w:hAnsi="Calibri" w:cs="Arial"/>
                <w:bCs/>
                <w:lang w:val="en-GB"/>
              </w:rPr>
            </w:pPr>
            <w:r w:rsidRPr="007805CF">
              <w:rPr>
                <w:rFonts w:cs="Arial"/>
                <w:bCs/>
                <w:lang w:val="en-GB"/>
              </w:rPr>
              <w:t xml:space="preserve">Age ≥ 18 years </w:t>
            </w:r>
          </w:p>
          <w:p w14:paraId="01643780" w14:textId="77777777" w:rsidR="004E1FAF" w:rsidRPr="007805CF" w:rsidRDefault="004E1FAF" w:rsidP="0010677B">
            <w:pPr>
              <w:pStyle w:val="ListParagraph"/>
              <w:numPr>
                <w:ilvl w:val="0"/>
                <w:numId w:val="7"/>
              </w:numPr>
              <w:spacing w:line="276" w:lineRule="auto"/>
              <w:ind w:left="425" w:hanging="425"/>
              <w:jc w:val="both"/>
              <w:rPr>
                <w:rFonts w:ascii="Calibri" w:hAnsi="Calibri" w:cs="Arial"/>
                <w:bCs/>
                <w:lang w:val="en-GB"/>
              </w:rPr>
            </w:pPr>
            <w:r w:rsidRPr="007805CF">
              <w:rPr>
                <w:rFonts w:cs="Arial"/>
                <w:bCs/>
                <w:lang w:val="en-GB"/>
              </w:rPr>
              <w:t>Adequate bone marrow function</w:t>
            </w:r>
            <w:r w:rsidR="001833CB" w:rsidRPr="007805CF">
              <w:rPr>
                <w:rFonts w:cs="Arial"/>
                <w:bCs/>
                <w:lang w:val="en-GB"/>
              </w:rPr>
              <w:t>**</w:t>
            </w:r>
          </w:p>
          <w:p w14:paraId="7CB1E54A" w14:textId="77777777" w:rsidR="008A3837" w:rsidRPr="007805CF" w:rsidRDefault="008A3837" w:rsidP="0010677B">
            <w:pPr>
              <w:numPr>
                <w:ilvl w:val="0"/>
                <w:numId w:val="7"/>
              </w:numPr>
              <w:spacing w:line="276" w:lineRule="auto"/>
              <w:ind w:left="425" w:hanging="425"/>
              <w:jc w:val="both"/>
              <w:rPr>
                <w:rFonts w:ascii="Calibri" w:hAnsi="Calibri" w:cs="Arial"/>
                <w:bCs/>
                <w:lang w:val="en-GB"/>
              </w:rPr>
            </w:pPr>
            <w:r w:rsidRPr="007805CF">
              <w:rPr>
                <w:rFonts w:ascii="Calibri" w:hAnsi="Calibri" w:cs="Arial"/>
                <w:bCs/>
                <w:lang w:val="en-GB"/>
              </w:rPr>
              <w:t>Patients cannot be satisfactorily treated with the approved and commercially available alternative treatments, in accordance with clinical guidelines, because of efficacy and/or safety issues</w:t>
            </w:r>
          </w:p>
          <w:p w14:paraId="4FB64623" w14:textId="77777777" w:rsidR="00DF5B4C" w:rsidRPr="007805CF" w:rsidRDefault="00DF5B4C" w:rsidP="0010677B">
            <w:pPr>
              <w:pStyle w:val="ListParagraph"/>
              <w:numPr>
                <w:ilvl w:val="0"/>
                <w:numId w:val="7"/>
              </w:numPr>
              <w:spacing w:line="276" w:lineRule="auto"/>
              <w:ind w:left="425" w:hanging="425"/>
              <w:jc w:val="both"/>
              <w:rPr>
                <w:rFonts w:cs="Arial"/>
                <w:bCs/>
                <w:lang w:val="en-GB"/>
              </w:rPr>
            </w:pPr>
            <w:r w:rsidRPr="007805CF">
              <w:rPr>
                <w:rFonts w:cs="Arial"/>
                <w:bCs/>
                <w:lang w:val="en-GB"/>
              </w:rPr>
              <w:t xml:space="preserve">Ability to understand and willingness to sign a written informed consent </w:t>
            </w:r>
          </w:p>
          <w:p w14:paraId="1EAD94A5" w14:textId="77777777" w:rsidR="00DF5B4C" w:rsidRPr="007805CF" w:rsidRDefault="00DF5B4C" w:rsidP="0010677B">
            <w:pPr>
              <w:pStyle w:val="ListParagraph"/>
              <w:numPr>
                <w:ilvl w:val="0"/>
                <w:numId w:val="7"/>
              </w:numPr>
              <w:spacing w:line="276" w:lineRule="auto"/>
              <w:ind w:left="425" w:hanging="425"/>
              <w:jc w:val="both"/>
              <w:rPr>
                <w:rFonts w:cs="Arial"/>
                <w:bCs/>
                <w:lang w:val="en-GB"/>
              </w:rPr>
            </w:pPr>
            <w:r w:rsidRPr="007805CF">
              <w:rPr>
                <w:rFonts w:cs="Arial"/>
                <w:bCs/>
                <w:lang w:val="en-GB"/>
              </w:rPr>
              <w:t xml:space="preserve">Signed and dated written informed consent is available </w:t>
            </w:r>
          </w:p>
          <w:p w14:paraId="042C2EF3" w14:textId="77777777" w:rsidR="000622F4" w:rsidRPr="007805CF" w:rsidRDefault="000622F4" w:rsidP="0010677B">
            <w:pPr>
              <w:spacing w:line="276" w:lineRule="auto"/>
              <w:jc w:val="both"/>
              <w:rPr>
                <w:rFonts w:cs="Arial"/>
                <w:bCs/>
                <w:sz w:val="18"/>
                <w:szCs w:val="18"/>
                <w:lang w:val="en-GB"/>
              </w:rPr>
            </w:pPr>
          </w:p>
          <w:p w14:paraId="2E11CBD0" w14:textId="77777777" w:rsidR="0079263E" w:rsidRPr="007805CF" w:rsidRDefault="0079263E" w:rsidP="0010677B">
            <w:pPr>
              <w:spacing w:line="276" w:lineRule="auto"/>
              <w:jc w:val="both"/>
              <w:rPr>
                <w:rFonts w:cs="Arial"/>
                <w:bCs/>
                <w:sz w:val="18"/>
                <w:szCs w:val="18"/>
                <w:lang w:val="en-GB"/>
              </w:rPr>
            </w:pPr>
            <w:r w:rsidRPr="007805CF">
              <w:rPr>
                <w:rFonts w:cs="Arial"/>
                <w:bCs/>
                <w:sz w:val="18"/>
                <w:szCs w:val="18"/>
                <w:lang w:val="en-GB"/>
              </w:rPr>
              <w:t xml:space="preserve">* </w:t>
            </w:r>
            <w:r w:rsidRPr="007805CF">
              <w:rPr>
                <w:rFonts w:cs="Arial"/>
                <w:sz w:val="18"/>
                <w:szCs w:val="18"/>
                <w:lang w:val="en-GB"/>
              </w:rPr>
              <w:t>Age appropriate treatment given with the intention to achieve a complete hematological remission and the best long term outcome at the judgment of the treating physician</w:t>
            </w:r>
            <w:r w:rsidRPr="007805CF">
              <w:rPr>
                <w:rFonts w:cs="Arial"/>
                <w:bCs/>
                <w:sz w:val="18"/>
                <w:szCs w:val="18"/>
                <w:lang w:val="en-GB"/>
              </w:rPr>
              <w:t xml:space="preserve"> can be considered as intense chemotherapy treatment.</w:t>
            </w:r>
          </w:p>
          <w:p w14:paraId="7BC4B27E" w14:textId="77777777" w:rsidR="001833CB" w:rsidRPr="007805CF" w:rsidRDefault="001833CB" w:rsidP="0010677B">
            <w:pPr>
              <w:spacing w:line="276" w:lineRule="auto"/>
              <w:jc w:val="both"/>
              <w:rPr>
                <w:rFonts w:cs="Arial"/>
                <w:bCs/>
                <w:sz w:val="18"/>
                <w:szCs w:val="18"/>
                <w:lang w:val="en-GB"/>
              </w:rPr>
            </w:pPr>
            <w:r w:rsidRPr="007805CF">
              <w:rPr>
                <w:rFonts w:cs="Arial"/>
                <w:bCs/>
                <w:sz w:val="18"/>
                <w:szCs w:val="18"/>
                <w:lang w:val="en-GB"/>
              </w:rPr>
              <w:lastRenderedPageBreak/>
              <w:t xml:space="preserve">** </w:t>
            </w:r>
            <w:r w:rsidRPr="007805CF">
              <w:rPr>
                <w:rFonts w:cs="Arial"/>
                <w:sz w:val="18"/>
                <w:szCs w:val="18"/>
                <w:lang w:val="en-GB"/>
              </w:rPr>
              <w:t>The physician will take into account the degree of hematopoietic recovery from the last previous chemotherapy and decide whether the functional level of bone marrow is adequate or not for blinatumomab use in view of benefits, but also risks.</w:t>
            </w:r>
          </w:p>
          <w:p w14:paraId="44007400" w14:textId="77777777" w:rsidR="001833CB" w:rsidRPr="007805CF" w:rsidRDefault="001833CB" w:rsidP="0010677B">
            <w:pPr>
              <w:spacing w:line="276" w:lineRule="auto"/>
              <w:jc w:val="both"/>
              <w:rPr>
                <w:rFonts w:cs="Arial"/>
                <w:bCs/>
                <w:sz w:val="18"/>
                <w:szCs w:val="18"/>
                <w:lang w:val="en-GB"/>
              </w:rPr>
            </w:pPr>
          </w:p>
          <w:p w14:paraId="606EF0F3" w14:textId="77777777" w:rsidR="00F62F9A" w:rsidRPr="007805CF" w:rsidRDefault="00F62F9A" w:rsidP="0010677B">
            <w:pPr>
              <w:spacing w:line="276" w:lineRule="auto"/>
              <w:jc w:val="both"/>
              <w:outlineLvl w:val="0"/>
              <w:rPr>
                <w:u w:val="single"/>
                <w:lang w:val="en-GB"/>
              </w:rPr>
            </w:pPr>
            <w:r w:rsidRPr="007805CF">
              <w:rPr>
                <w:u w:val="single"/>
                <w:lang w:val="en-GB"/>
              </w:rPr>
              <w:t>Exclusion criteria</w:t>
            </w:r>
            <w:r w:rsidRPr="007805CF">
              <w:rPr>
                <w:lang w:val="en-GB"/>
              </w:rPr>
              <w:t>:</w:t>
            </w:r>
          </w:p>
          <w:p w14:paraId="1B1E8906" w14:textId="77777777" w:rsidR="003E4B36" w:rsidRPr="007805CF" w:rsidRDefault="003E4B36" w:rsidP="0010677B">
            <w:pPr>
              <w:pStyle w:val="ListParagraph"/>
              <w:numPr>
                <w:ilvl w:val="0"/>
                <w:numId w:val="12"/>
              </w:numPr>
              <w:spacing w:line="276" w:lineRule="auto"/>
              <w:ind w:left="425" w:hanging="425"/>
              <w:jc w:val="both"/>
              <w:rPr>
                <w:rFonts w:cs="Arial"/>
                <w:bCs/>
                <w:lang w:val="en-GB"/>
              </w:rPr>
            </w:pPr>
            <w:r w:rsidRPr="007805CF">
              <w:rPr>
                <w:rFonts w:cs="Arial"/>
                <w:bCs/>
                <w:lang w:val="en-GB"/>
              </w:rPr>
              <w:t xml:space="preserve">Presence of circulating blasts or current extra-medullary involvement by ALL </w:t>
            </w:r>
          </w:p>
          <w:p w14:paraId="7D7B707C" w14:textId="77777777" w:rsidR="003E4B36" w:rsidRPr="007805CF" w:rsidRDefault="003E4B36" w:rsidP="0010677B">
            <w:pPr>
              <w:pStyle w:val="ListParagraph"/>
              <w:numPr>
                <w:ilvl w:val="0"/>
                <w:numId w:val="12"/>
              </w:numPr>
              <w:spacing w:line="276" w:lineRule="auto"/>
              <w:ind w:left="425" w:hanging="425"/>
              <w:jc w:val="both"/>
              <w:rPr>
                <w:rFonts w:cs="Arial"/>
                <w:bCs/>
                <w:lang w:val="en-GB"/>
              </w:rPr>
            </w:pPr>
            <w:r w:rsidRPr="007805CF">
              <w:rPr>
                <w:rFonts w:cs="Arial"/>
                <w:bCs/>
                <w:lang w:val="en-GB"/>
              </w:rPr>
              <w:t xml:space="preserve">History of relevant CNS pathology or current relevant CNS pathology </w:t>
            </w:r>
          </w:p>
          <w:p w14:paraId="039745ED" w14:textId="77777777" w:rsidR="003E4B36" w:rsidRPr="007805CF" w:rsidRDefault="003E4B36" w:rsidP="0010677B">
            <w:pPr>
              <w:pStyle w:val="ListParagraph"/>
              <w:numPr>
                <w:ilvl w:val="0"/>
                <w:numId w:val="12"/>
              </w:numPr>
              <w:spacing w:line="276" w:lineRule="auto"/>
              <w:ind w:left="425" w:hanging="425"/>
              <w:jc w:val="both"/>
              <w:rPr>
                <w:rFonts w:cs="Arial"/>
                <w:bCs/>
                <w:lang w:val="en-GB"/>
              </w:rPr>
            </w:pPr>
            <w:r w:rsidRPr="007805CF">
              <w:rPr>
                <w:rFonts w:cs="Arial"/>
                <w:bCs/>
                <w:lang w:val="en-GB"/>
              </w:rPr>
              <w:t xml:space="preserve">Current infiltration of cerebro-spinal fluid by ALL </w:t>
            </w:r>
          </w:p>
          <w:p w14:paraId="5D6258C2" w14:textId="77777777" w:rsidR="008A3837" w:rsidRPr="007805CF" w:rsidRDefault="008A3837" w:rsidP="0010677B">
            <w:pPr>
              <w:pStyle w:val="ListParagraph"/>
              <w:numPr>
                <w:ilvl w:val="0"/>
                <w:numId w:val="12"/>
              </w:numPr>
              <w:spacing w:line="276" w:lineRule="auto"/>
              <w:ind w:left="425" w:hanging="425"/>
              <w:jc w:val="both"/>
              <w:rPr>
                <w:rFonts w:cs="Arial"/>
                <w:bCs/>
                <w:lang w:val="en-GB"/>
              </w:rPr>
            </w:pPr>
            <w:r w:rsidRPr="007805CF">
              <w:rPr>
                <w:rFonts w:cs="Arial"/>
                <w:lang w:val="en-GB"/>
              </w:rPr>
              <w:t>History of or active relevant autoimmune disease</w:t>
            </w:r>
          </w:p>
          <w:p w14:paraId="20F3E524" w14:textId="77777777" w:rsidR="003E4B36" w:rsidRPr="007805CF" w:rsidRDefault="003E4B36" w:rsidP="0010677B">
            <w:pPr>
              <w:pStyle w:val="ListParagraph"/>
              <w:numPr>
                <w:ilvl w:val="0"/>
                <w:numId w:val="12"/>
              </w:numPr>
              <w:spacing w:line="276" w:lineRule="auto"/>
              <w:ind w:left="425" w:hanging="425"/>
              <w:jc w:val="both"/>
              <w:rPr>
                <w:rFonts w:cs="Arial"/>
                <w:bCs/>
                <w:lang w:val="en-GB"/>
              </w:rPr>
            </w:pPr>
            <w:r w:rsidRPr="007805CF">
              <w:rPr>
                <w:rFonts w:cs="Arial"/>
                <w:bCs/>
                <w:lang w:val="en-GB"/>
              </w:rPr>
              <w:t xml:space="preserve">Known hypersensitivity to immunoglobulins or to any other component of the study drug formulation </w:t>
            </w:r>
          </w:p>
          <w:p w14:paraId="47AA67AD" w14:textId="77777777" w:rsidR="00E55901" w:rsidRPr="007805CF" w:rsidRDefault="00E55901" w:rsidP="0010677B">
            <w:pPr>
              <w:pStyle w:val="ListParagraph"/>
              <w:numPr>
                <w:ilvl w:val="0"/>
                <w:numId w:val="12"/>
              </w:numPr>
              <w:spacing w:line="276" w:lineRule="auto"/>
              <w:ind w:left="425" w:hanging="425"/>
              <w:jc w:val="both"/>
              <w:rPr>
                <w:rFonts w:cs="Arial"/>
                <w:bCs/>
                <w:lang w:val="en-GB"/>
              </w:rPr>
            </w:pPr>
            <w:r w:rsidRPr="007805CF">
              <w:rPr>
                <w:rFonts w:cs="Arial"/>
                <w:bCs/>
                <w:lang w:val="en-GB"/>
              </w:rPr>
              <w:t>Breast-feeding</w:t>
            </w:r>
          </w:p>
          <w:p w14:paraId="6F582A44" w14:textId="7B0EAC3E" w:rsidR="00AC18B7" w:rsidRPr="00A52F6D" w:rsidRDefault="00D34492" w:rsidP="0010677B">
            <w:pPr>
              <w:pStyle w:val="ListParagraph"/>
              <w:numPr>
                <w:ilvl w:val="0"/>
                <w:numId w:val="12"/>
              </w:numPr>
              <w:spacing w:line="276" w:lineRule="auto"/>
              <w:ind w:left="425" w:hanging="425"/>
              <w:jc w:val="both"/>
              <w:rPr>
                <w:lang w:val="en-GB"/>
              </w:rPr>
            </w:pPr>
            <w:r w:rsidRPr="007805CF">
              <w:rPr>
                <w:rFonts w:cs="Arial"/>
                <w:bCs/>
                <w:lang w:val="en-GB"/>
              </w:rPr>
              <w:t xml:space="preserve">The patient is eligible for a clinical trial running with </w:t>
            </w:r>
            <w:r w:rsidRPr="007805CF">
              <w:rPr>
                <w:rFonts w:cs="Arial"/>
                <w:lang w:val="en-GB"/>
              </w:rPr>
              <w:t>blinatumomab</w:t>
            </w:r>
            <w:r w:rsidRPr="007805CF">
              <w:rPr>
                <w:rFonts w:cs="Arial"/>
                <w:bCs/>
                <w:lang w:val="en-GB"/>
              </w:rPr>
              <w:t xml:space="preserve"> and/or a clinical trial running in the envisaged indication of this program</w:t>
            </w:r>
            <w:r w:rsidR="000C5B86">
              <w:rPr>
                <w:rFonts w:cs="Arial"/>
                <w:bCs/>
                <w:lang w:val="en-GB"/>
              </w:rPr>
              <w:t xml:space="preserve"> (such as </w:t>
            </w:r>
            <w:r w:rsidR="000C5B86">
              <w:rPr>
                <w:lang w:val="en-GB"/>
              </w:rPr>
              <w:t xml:space="preserve">GRAALL-2014 study - </w:t>
            </w:r>
            <w:r w:rsidR="000C5B86" w:rsidRPr="00A52F6D">
              <w:rPr>
                <w:lang w:val="en-GB"/>
              </w:rPr>
              <w:t>EUDRACT: 2014-002146-44)</w:t>
            </w:r>
          </w:p>
          <w:p w14:paraId="245A6B6A" w14:textId="77777777" w:rsidR="00AC18B7" w:rsidRPr="007805CF" w:rsidRDefault="00AC18B7" w:rsidP="0010677B">
            <w:pPr>
              <w:tabs>
                <w:tab w:val="left" w:pos="743"/>
              </w:tabs>
              <w:spacing w:line="276" w:lineRule="auto"/>
              <w:jc w:val="both"/>
              <w:rPr>
                <w:rFonts w:cs="Arial"/>
                <w:lang w:val="en-GB"/>
              </w:rPr>
            </w:pPr>
          </w:p>
          <w:p w14:paraId="3BD78CF6" w14:textId="77777777" w:rsidR="00B2231F" w:rsidRPr="007805CF" w:rsidRDefault="00AC18B7" w:rsidP="0010677B">
            <w:pPr>
              <w:tabs>
                <w:tab w:val="left" w:pos="743"/>
              </w:tabs>
              <w:spacing w:line="276" w:lineRule="auto"/>
              <w:jc w:val="both"/>
              <w:rPr>
                <w:lang w:val="en-GB"/>
              </w:rPr>
            </w:pPr>
            <w:r w:rsidRPr="007805CF">
              <w:rPr>
                <w:rFonts w:cs="Arial"/>
                <w:lang w:val="en-GB"/>
              </w:rPr>
              <w:t xml:space="preserve">Treatment with blinatumomab should be carefully considered based on individual patient benefit/risk ratio (e.g taking into account age, comorbidity, toxicity, </w:t>
            </w:r>
            <w:r w:rsidR="003823DB" w:rsidRPr="007805CF">
              <w:rPr>
                <w:rFonts w:cs="Arial"/>
                <w:lang w:val="en-GB"/>
              </w:rPr>
              <w:t xml:space="preserve">bone marrow function, </w:t>
            </w:r>
            <w:r w:rsidRPr="007805CF">
              <w:rPr>
                <w:rFonts w:cs="Arial"/>
                <w:lang w:val="en-GB"/>
              </w:rPr>
              <w:t>etc.).</w:t>
            </w:r>
          </w:p>
          <w:p w14:paraId="57478FD5" w14:textId="77777777" w:rsidR="00AC18B7" w:rsidRPr="007805CF" w:rsidRDefault="00AC18B7" w:rsidP="0010677B">
            <w:pPr>
              <w:spacing w:line="276" w:lineRule="auto"/>
              <w:jc w:val="both"/>
              <w:outlineLvl w:val="0"/>
              <w:rPr>
                <w:bCs/>
                <w:u w:val="single"/>
                <w:lang w:val="en-GB"/>
              </w:rPr>
            </w:pPr>
          </w:p>
          <w:p w14:paraId="6F65CFBE" w14:textId="77777777" w:rsidR="00552F93" w:rsidRPr="007805CF" w:rsidRDefault="00552F93" w:rsidP="0010677B">
            <w:pPr>
              <w:spacing w:line="276" w:lineRule="auto"/>
              <w:jc w:val="both"/>
              <w:outlineLvl w:val="0"/>
              <w:rPr>
                <w:u w:val="single"/>
                <w:lang w:val="en-GB"/>
              </w:rPr>
            </w:pPr>
            <w:r w:rsidRPr="007805CF">
              <w:rPr>
                <w:bCs/>
                <w:u w:val="single"/>
                <w:lang w:val="en-GB"/>
              </w:rPr>
              <w:t>Process to include patients</w:t>
            </w:r>
            <w:r w:rsidRPr="007805CF">
              <w:rPr>
                <w:bCs/>
                <w:lang w:val="en-GB"/>
              </w:rPr>
              <w:t>:</w:t>
            </w:r>
          </w:p>
          <w:p w14:paraId="2FDFA569" w14:textId="77777777" w:rsidR="00552F93" w:rsidRPr="007805CF" w:rsidRDefault="00552F93" w:rsidP="0010677B">
            <w:pPr>
              <w:pStyle w:val="ListParagraph"/>
              <w:numPr>
                <w:ilvl w:val="0"/>
                <w:numId w:val="13"/>
              </w:numPr>
              <w:spacing w:line="276" w:lineRule="auto"/>
              <w:ind w:left="425" w:hanging="425"/>
              <w:jc w:val="both"/>
              <w:rPr>
                <w:rFonts w:cs="Arial"/>
                <w:bCs/>
                <w:lang w:val="en-GB"/>
              </w:rPr>
            </w:pPr>
            <w:r w:rsidRPr="007805CF">
              <w:rPr>
                <w:rFonts w:cs="Arial"/>
                <w:bCs/>
                <w:lang w:val="en-GB"/>
              </w:rPr>
              <w:t>Completed and signed ICF</w:t>
            </w:r>
          </w:p>
          <w:p w14:paraId="31D96A83" w14:textId="77777777" w:rsidR="00552F93" w:rsidRPr="007805CF" w:rsidRDefault="00552F93" w:rsidP="0010677B">
            <w:pPr>
              <w:pStyle w:val="ListParagraph"/>
              <w:numPr>
                <w:ilvl w:val="0"/>
                <w:numId w:val="13"/>
              </w:numPr>
              <w:spacing w:line="276" w:lineRule="auto"/>
              <w:ind w:left="425" w:hanging="425"/>
              <w:jc w:val="both"/>
              <w:rPr>
                <w:rFonts w:cs="Arial"/>
                <w:bCs/>
                <w:lang w:val="en-GB"/>
              </w:rPr>
            </w:pPr>
            <w:r w:rsidRPr="007805CF">
              <w:rPr>
                <w:rFonts w:cs="Arial"/>
                <w:bCs/>
                <w:lang w:val="en-GB"/>
              </w:rPr>
              <w:t>Written request of the treating physician</w:t>
            </w:r>
          </w:p>
          <w:p w14:paraId="7CD7F45C" w14:textId="77777777" w:rsidR="00552F93" w:rsidRPr="007805CF" w:rsidRDefault="00552F93" w:rsidP="0010677B">
            <w:pPr>
              <w:pStyle w:val="ListParagraph"/>
              <w:numPr>
                <w:ilvl w:val="0"/>
                <w:numId w:val="13"/>
              </w:numPr>
              <w:spacing w:line="276" w:lineRule="auto"/>
              <w:ind w:left="425" w:hanging="425"/>
              <w:jc w:val="both"/>
              <w:rPr>
                <w:rFonts w:cs="Arial"/>
                <w:bCs/>
                <w:lang w:val="en-GB"/>
              </w:rPr>
            </w:pPr>
            <w:r w:rsidRPr="007805CF">
              <w:rPr>
                <w:rFonts w:cs="Arial"/>
                <w:bCs/>
                <w:lang w:val="en-GB"/>
              </w:rPr>
              <w:t>Positive advice by the responsible physician</w:t>
            </w:r>
          </w:p>
          <w:p w14:paraId="03C66649" w14:textId="77777777" w:rsidR="00552F93" w:rsidRPr="007805CF" w:rsidRDefault="00552F93" w:rsidP="0010677B">
            <w:pPr>
              <w:pStyle w:val="ListParagraph"/>
              <w:numPr>
                <w:ilvl w:val="0"/>
                <w:numId w:val="13"/>
              </w:numPr>
              <w:spacing w:line="276" w:lineRule="auto"/>
              <w:ind w:left="425" w:hanging="425"/>
              <w:jc w:val="both"/>
              <w:rPr>
                <w:rFonts w:cs="Arial"/>
                <w:bCs/>
                <w:lang w:val="en-GB"/>
              </w:rPr>
            </w:pPr>
            <w:r w:rsidRPr="007805CF">
              <w:rPr>
                <w:rFonts w:cs="Arial"/>
                <w:bCs/>
                <w:lang w:val="en-GB"/>
              </w:rPr>
              <w:t>Confirmation of enrolment by the responsible of the program</w:t>
            </w:r>
          </w:p>
          <w:p w14:paraId="6D4EB18B" w14:textId="77777777" w:rsidR="0082499B" w:rsidRPr="007805CF" w:rsidRDefault="0082499B" w:rsidP="0010677B">
            <w:pPr>
              <w:spacing w:line="276" w:lineRule="auto"/>
              <w:jc w:val="both"/>
              <w:rPr>
                <w:rFonts w:cs="Arial"/>
                <w:lang w:val="en-GB"/>
              </w:rPr>
            </w:pPr>
          </w:p>
          <w:p w14:paraId="7EFE1615" w14:textId="77777777" w:rsidR="00552F93" w:rsidRPr="007805CF" w:rsidRDefault="00552F93" w:rsidP="0010677B">
            <w:pPr>
              <w:spacing w:line="276" w:lineRule="auto"/>
              <w:jc w:val="both"/>
              <w:rPr>
                <w:rFonts w:cs="Arial"/>
                <w:lang w:val="en-GB"/>
              </w:rPr>
            </w:pPr>
            <w:r w:rsidRPr="007805CF">
              <w:rPr>
                <w:rFonts w:cs="Arial"/>
                <w:lang w:val="en-GB"/>
              </w:rPr>
              <w:t>Taken into account the urgency of the disease, all requests will be treated as soon as possible, and at the latest within 1 week after the request.</w:t>
            </w:r>
          </w:p>
          <w:p w14:paraId="74A215BE" w14:textId="77777777" w:rsidR="00552F93" w:rsidRPr="007805CF" w:rsidRDefault="00552F93" w:rsidP="0010677B">
            <w:pPr>
              <w:spacing w:line="276" w:lineRule="auto"/>
              <w:jc w:val="both"/>
              <w:rPr>
                <w:rFonts w:cs="Arial"/>
                <w:lang w:val="en-GB"/>
              </w:rPr>
            </w:pPr>
          </w:p>
          <w:p w14:paraId="09290C71" w14:textId="77777777" w:rsidR="009F0578" w:rsidRPr="007805CF" w:rsidRDefault="00552F93" w:rsidP="0010677B">
            <w:pPr>
              <w:spacing w:line="276" w:lineRule="auto"/>
              <w:jc w:val="both"/>
              <w:rPr>
                <w:lang w:val="en-GB"/>
              </w:rPr>
            </w:pPr>
            <w:r w:rsidRPr="007805CF">
              <w:rPr>
                <w:rFonts w:cs="Arial"/>
                <w:lang w:val="en-GB"/>
              </w:rPr>
              <w:t xml:space="preserve">Blinatumomab will be provided for 2 treatment cycles. The need for up to 2 additional treatment cycles is patient-dependent and will be determined by the treating physician. </w:t>
            </w:r>
          </w:p>
        </w:tc>
      </w:tr>
      <w:tr w:rsidR="008A7AB3" w:rsidRPr="004800B4" w14:paraId="370C1E43" w14:textId="77777777" w:rsidTr="006903EB">
        <w:tc>
          <w:tcPr>
            <w:tcW w:w="2836" w:type="dxa"/>
            <w:vAlign w:val="center"/>
          </w:tcPr>
          <w:p w14:paraId="5023BA67" w14:textId="77777777" w:rsidR="008A7AB3" w:rsidRPr="007805CF" w:rsidRDefault="008A7AB3" w:rsidP="00316445">
            <w:pPr>
              <w:spacing w:line="276" w:lineRule="auto"/>
              <w:jc w:val="both"/>
              <w:outlineLvl w:val="0"/>
              <w:rPr>
                <w:lang w:val="en-GB"/>
              </w:rPr>
            </w:pPr>
            <w:r w:rsidRPr="007805CF">
              <w:rPr>
                <w:lang w:val="en-GB"/>
              </w:rPr>
              <w:lastRenderedPageBreak/>
              <w:t>Duration of the program</w:t>
            </w:r>
          </w:p>
        </w:tc>
        <w:tc>
          <w:tcPr>
            <w:tcW w:w="7371" w:type="dxa"/>
            <w:vAlign w:val="center"/>
          </w:tcPr>
          <w:p w14:paraId="05B2D352" w14:textId="77777777" w:rsidR="00AA1D62" w:rsidRPr="007805CF" w:rsidRDefault="00AA1D62" w:rsidP="0010677B">
            <w:pPr>
              <w:spacing w:line="276" w:lineRule="auto"/>
              <w:jc w:val="both"/>
              <w:rPr>
                <w:rFonts w:cs="Arial"/>
                <w:lang w:val="en-GB"/>
              </w:rPr>
            </w:pPr>
            <w:r w:rsidRPr="007805CF">
              <w:rPr>
                <w:rFonts w:cs="Arial"/>
                <w:lang w:val="en-GB"/>
              </w:rPr>
              <w:t xml:space="preserve">This program will start at the submission of the cohort proposition to RIZIV/INAMI or at the latest on the first of January 2016 and its execution will be in line with the legal requirements. </w:t>
            </w:r>
          </w:p>
          <w:p w14:paraId="3861925C" w14:textId="77777777" w:rsidR="00637CD3" w:rsidRPr="007805CF" w:rsidRDefault="00637CD3" w:rsidP="0010677B">
            <w:pPr>
              <w:spacing w:line="276" w:lineRule="auto"/>
              <w:jc w:val="both"/>
              <w:rPr>
                <w:rFonts w:cs="Arial"/>
                <w:lang w:val="en-GB"/>
              </w:rPr>
            </w:pPr>
          </w:p>
          <w:p w14:paraId="12389549" w14:textId="77777777" w:rsidR="000C5844" w:rsidRPr="007805CF" w:rsidRDefault="000C5844" w:rsidP="0010677B">
            <w:pPr>
              <w:spacing w:line="276" w:lineRule="auto"/>
              <w:jc w:val="both"/>
              <w:rPr>
                <w:rFonts w:cs="Arial"/>
                <w:lang w:val="en-GB"/>
              </w:rPr>
            </w:pPr>
            <w:r w:rsidRPr="007805CF">
              <w:rPr>
                <w:rFonts w:cs="Arial"/>
                <w:lang w:val="en-GB"/>
              </w:rPr>
              <w:t>Blinatumomab will be provided free of charge by Amgen on an individual patient basis following the criteria stated in this program until, in the clinical judgement of the treating physician, the patient is no longer benefiting from continuation of the treatment.</w:t>
            </w:r>
          </w:p>
          <w:p w14:paraId="1FC3DE66" w14:textId="77777777" w:rsidR="000C5844" w:rsidRPr="007805CF" w:rsidRDefault="000C5844" w:rsidP="0010677B">
            <w:pPr>
              <w:spacing w:line="276" w:lineRule="auto"/>
              <w:jc w:val="both"/>
              <w:rPr>
                <w:rFonts w:cs="Arial"/>
                <w:lang w:val="en-GB"/>
              </w:rPr>
            </w:pPr>
            <w:r w:rsidRPr="007805CF">
              <w:rPr>
                <w:rFonts w:cs="Arial"/>
                <w:lang w:val="en-GB"/>
              </w:rPr>
              <w:t xml:space="preserve">Or, until </w:t>
            </w:r>
            <w:r w:rsidRPr="007805CF">
              <w:rPr>
                <w:rFonts w:cs="Arial"/>
                <w:bCs/>
                <w:lang w:val="en-GB"/>
              </w:rPr>
              <w:t>one of the following stopping criteria for ending the CU is met (whichever comes first):</w:t>
            </w:r>
          </w:p>
          <w:p w14:paraId="3837B078" w14:textId="77777777" w:rsidR="000C5844" w:rsidRPr="007805CF" w:rsidRDefault="000C5844" w:rsidP="0010677B">
            <w:pPr>
              <w:pStyle w:val="ListParagraph"/>
              <w:numPr>
                <w:ilvl w:val="0"/>
                <w:numId w:val="14"/>
              </w:numPr>
              <w:spacing w:line="276" w:lineRule="auto"/>
              <w:ind w:left="425" w:hanging="425"/>
              <w:jc w:val="both"/>
              <w:rPr>
                <w:rFonts w:cs="Arial"/>
                <w:bCs/>
                <w:lang w:val="en-GB"/>
              </w:rPr>
            </w:pPr>
            <w:r w:rsidRPr="007805CF">
              <w:rPr>
                <w:rFonts w:cs="Arial"/>
                <w:bCs/>
                <w:lang w:val="en-GB"/>
              </w:rPr>
              <w:lastRenderedPageBreak/>
              <w:t>Blinatumomab is reimbursed in the indication of MRD+ B-precursor ALL in Belgium</w:t>
            </w:r>
          </w:p>
          <w:p w14:paraId="4B79B506" w14:textId="77777777" w:rsidR="000C5844" w:rsidRPr="007805CF" w:rsidRDefault="000C5844" w:rsidP="0010677B">
            <w:pPr>
              <w:pStyle w:val="ListParagraph"/>
              <w:numPr>
                <w:ilvl w:val="0"/>
                <w:numId w:val="14"/>
              </w:numPr>
              <w:spacing w:line="276" w:lineRule="auto"/>
              <w:ind w:left="425" w:hanging="425"/>
              <w:jc w:val="both"/>
              <w:rPr>
                <w:rFonts w:cs="Arial"/>
                <w:bCs/>
                <w:lang w:val="en-GB"/>
              </w:rPr>
            </w:pPr>
            <w:r w:rsidRPr="007805CF">
              <w:rPr>
                <w:rFonts w:cs="Arial"/>
                <w:bCs/>
                <w:lang w:val="en-GB"/>
              </w:rPr>
              <w:t xml:space="preserve">EMA ultimately decides that the benefit/risk assessment is not supportive of registration of blinatumomab in this indication </w:t>
            </w:r>
          </w:p>
          <w:p w14:paraId="17228152" w14:textId="77777777" w:rsidR="000C5844" w:rsidRPr="007805CF" w:rsidRDefault="000C5844" w:rsidP="0010677B">
            <w:pPr>
              <w:pStyle w:val="ListParagraph"/>
              <w:numPr>
                <w:ilvl w:val="0"/>
                <w:numId w:val="14"/>
              </w:numPr>
              <w:spacing w:line="276" w:lineRule="auto"/>
              <w:ind w:left="425" w:hanging="425"/>
              <w:jc w:val="both"/>
              <w:rPr>
                <w:rFonts w:cs="Arial"/>
                <w:bCs/>
                <w:lang w:val="en-GB"/>
              </w:rPr>
            </w:pPr>
            <w:r w:rsidRPr="007805CF">
              <w:rPr>
                <w:rFonts w:cs="Arial"/>
                <w:bCs/>
                <w:lang w:val="en-GB"/>
              </w:rPr>
              <w:t>Amgen decides to withdraw the registration dossier following an unfavorable benefit/risk profile of blinatumomab in the treatment of MRD+ B-precursor ALL</w:t>
            </w:r>
          </w:p>
          <w:p w14:paraId="21C7EDF9" w14:textId="77777777" w:rsidR="000C5844" w:rsidRPr="007805CF" w:rsidRDefault="000C5844" w:rsidP="0010677B">
            <w:pPr>
              <w:pStyle w:val="ListParagraph"/>
              <w:numPr>
                <w:ilvl w:val="0"/>
                <w:numId w:val="14"/>
              </w:numPr>
              <w:spacing w:line="276" w:lineRule="auto"/>
              <w:ind w:left="425" w:hanging="425"/>
              <w:jc w:val="both"/>
              <w:rPr>
                <w:rFonts w:cs="Arial"/>
                <w:bCs/>
                <w:lang w:val="en-GB"/>
              </w:rPr>
            </w:pPr>
            <w:r w:rsidRPr="007805CF">
              <w:rPr>
                <w:rFonts w:cs="Arial"/>
                <w:bCs/>
                <w:lang w:val="en-GB"/>
              </w:rPr>
              <w:t>Amgen decides to stop the development of blinatumomab in this indication.</w:t>
            </w:r>
          </w:p>
          <w:p w14:paraId="0E01325E" w14:textId="795AFC23" w:rsidR="000C5844" w:rsidRPr="007805CF" w:rsidRDefault="000C5844" w:rsidP="0010677B">
            <w:pPr>
              <w:spacing w:line="276" w:lineRule="auto"/>
              <w:jc w:val="both"/>
              <w:rPr>
                <w:rFonts w:cs="Arial"/>
                <w:lang w:val="en-GB"/>
              </w:rPr>
            </w:pPr>
            <w:r w:rsidRPr="007805CF">
              <w:rPr>
                <w:rFonts w:cs="Arial"/>
                <w:bCs/>
                <w:lang w:val="en-GB"/>
              </w:rPr>
              <w:t xml:space="preserve">Or </w:t>
            </w:r>
            <w:r w:rsidRPr="007805CF">
              <w:rPr>
                <w:rFonts w:cs="Arial"/>
                <w:lang w:val="en-GB"/>
              </w:rPr>
              <w:t xml:space="preserve">at the latest until the </w:t>
            </w:r>
            <w:r w:rsidR="001A368D" w:rsidRPr="007805CF">
              <w:rPr>
                <w:rFonts w:cs="Arial"/>
                <w:lang w:val="en-GB"/>
              </w:rPr>
              <w:t>end</w:t>
            </w:r>
            <w:r w:rsidRPr="007805CF">
              <w:rPr>
                <w:rFonts w:cs="Arial"/>
                <w:lang w:val="en-GB"/>
              </w:rPr>
              <w:t xml:space="preserve"> of 20</w:t>
            </w:r>
            <w:r w:rsidR="0005261A">
              <w:rPr>
                <w:rFonts w:cs="Arial"/>
                <w:lang w:val="en-GB"/>
              </w:rPr>
              <w:t>20</w:t>
            </w:r>
            <w:r w:rsidRPr="007805CF">
              <w:rPr>
                <w:rFonts w:cs="Arial"/>
                <w:lang w:val="en-GB"/>
              </w:rPr>
              <w:t>.</w:t>
            </w:r>
          </w:p>
          <w:p w14:paraId="5EF5E982" w14:textId="77777777" w:rsidR="00637CD3" w:rsidRPr="007805CF" w:rsidRDefault="00637CD3" w:rsidP="0010677B">
            <w:pPr>
              <w:spacing w:line="276" w:lineRule="auto"/>
              <w:jc w:val="both"/>
              <w:rPr>
                <w:rFonts w:cs="Arial"/>
                <w:lang w:val="en-GB"/>
              </w:rPr>
            </w:pPr>
          </w:p>
          <w:p w14:paraId="1B0C0442" w14:textId="77777777" w:rsidR="007B6F46" w:rsidRPr="007805CF" w:rsidRDefault="000C5844" w:rsidP="0010677B">
            <w:pPr>
              <w:spacing w:line="276" w:lineRule="auto"/>
              <w:jc w:val="both"/>
              <w:rPr>
                <w:lang w:val="en-GB"/>
              </w:rPr>
            </w:pPr>
            <w:r w:rsidRPr="007805CF">
              <w:rPr>
                <w:rFonts w:cs="Arial"/>
                <w:lang w:val="en-GB"/>
              </w:rPr>
              <w:t>The program will be reviewed regularly by Amgen, who has the right to stop the program at any time.</w:t>
            </w:r>
            <w:r w:rsidR="00D34492" w:rsidRPr="007805CF">
              <w:rPr>
                <w:rFonts w:cs="Arial"/>
                <w:lang w:val="en-GB"/>
              </w:rPr>
              <w:t xml:space="preserve"> </w:t>
            </w:r>
            <w:r w:rsidR="00D34492" w:rsidRPr="007805CF">
              <w:rPr>
                <w:lang w:val="en-GB"/>
              </w:rPr>
              <w:t xml:space="preserve">Patients that were already included in the </w:t>
            </w:r>
            <w:r w:rsidR="00E77B4C" w:rsidRPr="007805CF">
              <w:rPr>
                <w:lang w:val="en-GB"/>
              </w:rPr>
              <w:t>program</w:t>
            </w:r>
            <w:r w:rsidR="00D34492" w:rsidRPr="007805CF">
              <w:rPr>
                <w:lang w:val="en-GB"/>
              </w:rPr>
              <w:t xml:space="preserve"> will be supported until the end of their treatment.</w:t>
            </w:r>
          </w:p>
        </w:tc>
      </w:tr>
      <w:tr w:rsidR="00034225" w:rsidRPr="004800B4" w14:paraId="6ECAB7C2" w14:textId="77777777" w:rsidTr="006903EB">
        <w:tc>
          <w:tcPr>
            <w:tcW w:w="2836" w:type="dxa"/>
            <w:vAlign w:val="center"/>
          </w:tcPr>
          <w:p w14:paraId="66F1B25A" w14:textId="77777777" w:rsidR="00034225" w:rsidRPr="007805CF" w:rsidRDefault="00034225" w:rsidP="00316445">
            <w:pPr>
              <w:spacing w:line="276" w:lineRule="auto"/>
              <w:jc w:val="both"/>
              <w:outlineLvl w:val="0"/>
              <w:rPr>
                <w:lang w:val="en-GB"/>
              </w:rPr>
            </w:pPr>
            <w:r w:rsidRPr="007805CF">
              <w:rPr>
                <w:lang w:val="en-GB"/>
              </w:rPr>
              <w:lastRenderedPageBreak/>
              <w:t>Conditions of distribution</w:t>
            </w:r>
          </w:p>
        </w:tc>
        <w:tc>
          <w:tcPr>
            <w:tcW w:w="7371" w:type="dxa"/>
            <w:vAlign w:val="center"/>
          </w:tcPr>
          <w:p w14:paraId="61540182" w14:textId="77777777" w:rsidR="008320F1" w:rsidRPr="007805CF" w:rsidRDefault="00552F93" w:rsidP="0010677B">
            <w:pPr>
              <w:spacing w:line="276" w:lineRule="auto"/>
              <w:jc w:val="both"/>
              <w:outlineLvl w:val="0"/>
              <w:rPr>
                <w:lang w:val="en-GB"/>
              </w:rPr>
            </w:pPr>
            <w:r w:rsidRPr="007805CF">
              <w:rPr>
                <w:lang w:val="en-GB"/>
              </w:rPr>
              <w:t>Blinatumomab will be requested by the treating physician. The responsible of the program only makes available the medicinal product to the treating physician if the advice of the responsible physician is positive. After approval of the request, a written confirmation will be sent to the treating physician and blinatumomab will be sent to the hospital pharmacy. Treatment should be initiated under the direction of and supervised by the treating physician.</w:t>
            </w:r>
            <w:r w:rsidR="008320F1" w:rsidRPr="007805CF" w:rsidDel="008320F1">
              <w:rPr>
                <w:lang w:val="en-GB"/>
              </w:rPr>
              <w:t xml:space="preserve"> </w:t>
            </w:r>
          </w:p>
        </w:tc>
      </w:tr>
      <w:tr w:rsidR="00034225" w:rsidRPr="001A368D" w14:paraId="6B4B30AA" w14:textId="77777777" w:rsidTr="00316445">
        <w:trPr>
          <w:cantSplit/>
        </w:trPr>
        <w:tc>
          <w:tcPr>
            <w:tcW w:w="2836" w:type="dxa"/>
            <w:vAlign w:val="center"/>
          </w:tcPr>
          <w:p w14:paraId="71F87E04" w14:textId="77777777" w:rsidR="00034225" w:rsidRPr="007805CF" w:rsidRDefault="00034225" w:rsidP="00316445">
            <w:pPr>
              <w:spacing w:line="276" w:lineRule="auto"/>
              <w:jc w:val="both"/>
              <w:outlineLvl w:val="0"/>
              <w:rPr>
                <w:lang w:val="en-GB"/>
              </w:rPr>
            </w:pPr>
            <w:r w:rsidRPr="007805CF">
              <w:rPr>
                <w:lang w:val="en-GB"/>
              </w:rPr>
              <w:t>Responsible of the program</w:t>
            </w:r>
          </w:p>
        </w:tc>
        <w:tc>
          <w:tcPr>
            <w:tcW w:w="7371" w:type="dxa"/>
            <w:vAlign w:val="center"/>
          </w:tcPr>
          <w:p w14:paraId="6507590F" w14:textId="77777777" w:rsidR="00E5027B" w:rsidRPr="007805CF" w:rsidRDefault="00E5027B" w:rsidP="0010677B">
            <w:pPr>
              <w:spacing w:line="276" w:lineRule="auto"/>
              <w:rPr>
                <w:u w:val="single"/>
                <w:lang w:val="en-GB"/>
              </w:rPr>
            </w:pPr>
            <w:r w:rsidRPr="007805CF">
              <w:rPr>
                <w:u w:val="single"/>
                <w:lang w:val="en-GB"/>
              </w:rPr>
              <w:t>Responsible of the program</w:t>
            </w:r>
            <w:r w:rsidRPr="007805CF">
              <w:rPr>
                <w:lang w:val="en-GB"/>
              </w:rPr>
              <w:t>:</w:t>
            </w:r>
          </w:p>
          <w:p w14:paraId="65F08D28" w14:textId="77777777" w:rsidR="00E5027B" w:rsidRPr="007805CF" w:rsidRDefault="00E5027B" w:rsidP="0010677B">
            <w:pPr>
              <w:spacing w:line="276" w:lineRule="auto"/>
              <w:rPr>
                <w:lang w:val="en-GB"/>
              </w:rPr>
            </w:pPr>
            <w:r w:rsidRPr="007805CF">
              <w:rPr>
                <w:lang w:val="en-GB"/>
              </w:rPr>
              <w:t>Amgen n.v.</w:t>
            </w:r>
          </w:p>
          <w:p w14:paraId="58642945" w14:textId="77777777" w:rsidR="00E5027B" w:rsidRPr="00C41B6F" w:rsidRDefault="001A368D" w:rsidP="0010677B">
            <w:pPr>
              <w:spacing w:line="276" w:lineRule="auto"/>
              <w:jc w:val="both"/>
              <w:rPr>
                <w:lang w:val="nl-BE"/>
              </w:rPr>
            </w:pPr>
            <w:r w:rsidRPr="00C41B6F">
              <w:rPr>
                <w:lang w:val="nl-BE"/>
              </w:rPr>
              <w:t xml:space="preserve">Telecomlaan </w:t>
            </w:r>
            <w:r w:rsidR="00E5027B" w:rsidRPr="00C41B6F">
              <w:rPr>
                <w:lang w:val="nl-BE"/>
              </w:rPr>
              <w:t>5</w:t>
            </w:r>
            <w:r w:rsidRPr="00C41B6F">
              <w:rPr>
                <w:lang w:val="nl-BE"/>
              </w:rPr>
              <w:t>-7</w:t>
            </w:r>
          </w:p>
          <w:p w14:paraId="159031EE" w14:textId="77777777" w:rsidR="00E5027B" w:rsidRPr="00C41B6F" w:rsidRDefault="001A368D" w:rsidP="0010677B">
            <w:pPr>
              <w:spacing w:line="276" w:lineRule="auto"/>
              <w:rPr>
                <w:lang w:val="nl-BE"/>
              </w:rPr>
            </w:pPr>
            <w:r w:rsidRPr="00C41B6F">
              <w:rPr>
                <w:lang w:val="nl-BE"/>
              </w:rPr>
              <w:t xml:space="preserve">1831 Diegem </w:t>
            </w:r>
          </w:p>
          <w:p w14:paraId="57D84696" w14:textId="77777777" w:rsidR="00E5027B" w:rsidRPr="00C41B6F" w:rsidRDefault="00E5027B" w:rsidP="0010677B">
            <w:pPr>
              <w:spacing w:line="276" w:lineRule="auto"/>
              <w:jc w:val="both"/>
              <w:outlineLvl w:val="0"/>
              <w:rPr>
                <w:lang w:val="nl-BE"/>
              </w:rPr>
            </w:pPr>
            <w:r w:rsidRPr="00C41B6F">
              <w:rPr>
                <w:lang w:val="nl-BE"/>
              </w:rPr>
              <w:t>+32 2 775 27 11</w:t>
            </w:r>
          </w:p>
          <w:p w14:paraId="1F18BB24" w14:textId="77777777" w:rsidR="00B2231F" w:rsidRPr="00C41B6F" w:rsidRDefault="00B2231F" w:rsidP="0010677B">
            <w:pPr>
              <w:spacing w:line="276" w:lineRule="auto"/>
              <w:jc w:val="both"/>
              <w:outlineLvl w:val="0"/>
              <w:rPr>
                <w:sz w:val="16"/>
                <w:szCs w:val="16"/>
                <w:lang w:val="nl-BE"/>
              </w:rPr>
            </w:pPr>
          </w:p>
          <w:p w14:paraId="12D014F8" w14:textId="77777777" w:rsidR="00034225" w:rsidRPr="00C41B6F" w:rsidRDefault="00034225" w:rsidP="0010677B">
            <w:pPr>
              <w:spacing w:line="276" w:lineRule="auto"/>
              <w:jc w:val="both"/>
              <w:outlineLvl w:val="0"/>
              <w:rPr>
                <w:u w:val="single"/>
                <w:lang w:val="nl-BE"/>
              </w:rPr>
            </w:pPr>
            <w:r w:rsidRPr="00C41B6F">
              <w:rPr>
                <w:u w:val="single"/>
                <w:lang w:val="nl-BE"/>
              </w:rPr>
              <w:t>Responsible physician</w:t>
            </w:r>
            <w:r w:rsidRPr="00C41B6F">
              <w:rPr>
                <w:lang w:val="nl-BE"/>
              </w:rPr>
              <w:t>:</w:t>
            </w:r>
          </w:p>
          <w:p w14:paraId="53C12D1C" w14:textId="77777777" w:rsidR="00034225" w:rsidRPr="00C41B6F" w:rsidRDefault="00DA0A1F" w:rsidP="0010677B">
            <w:pPr>
              <w:spacing w:line="276" w:lineRule="auto"/>
              <w:jc w:val="both"/>
              <w:outlineLvl w:val="0"/>
              <w:rPr>
                <w:lang w:val="nl-BE"/>
              </w:rPr>
            </w:pPr>
            <w:r w:rsidRPr="00C41B6F">
              <w:rPr>
                <w:lang w:val="nl-BE"/>
              </w:rPr>
              <w:t>Dr Jo Van der V</w:t>
            </w:r>
            <w:r w:rsidR="00034225" w:rsidRPr="00C41B6F">
              <w:rPr>
                <w:lang w:val="nl-BE"/>
              </w:rPr>
              <w:t>eken</w:t>
            </w:r>
          </w:p>
          <w:p w14:paraId="34EC5BCC" w14:textId="77777777" w:rsidR="00034225" w:rsidRPr="000C5B86" w:rsidRDefault="001A368D" w:rsidP="0010677B">
            <w:pPr>
              <w:spacing w:line="276" w:lineRule="auto"/>
              <w:jc w:val="both"/>
              <w:outlineLvl w:val="0"/>
            </w:pPr>
            <w:r w:rsidRPr="000C5B86">
              <w:t xml:space="preserve">Telecomlaan </w:t>
            </w:r>
            <w:r w:rsidR="00034225" w:rsidRPr="000C5B86">
              <w:t>5</w:t>
            </w:r>
            <w:r w:rsidRPr="000C5B86">
              <w:t>-7</w:t>
            </w:r>
          </w:p>
          <w:p w14:paraId="6A8A65AB" w14:textId="77777777" w:rsidR="00034225" w:rsidRPr="000C5B86" w:rsidRDefault="001A368D" w:rsidP="0010677B">
            <w:pPr>
              <w:spacing w:line="276" w:lineRule="auto"/>
              <w:jc w:val="both"/>
              <w:outlineLvl w:val="0"/>
            </w:pPr>
            <w:r w:rsidRPr="000C5B86">
              <w:t xml:space="preserve">1831 Diegem </w:t>
            </w:r>
          </w:p>
          <w:p w14:paraId="5A6B32AD" w14:textId="77777777" w:rsidR="00B2231F" w:rsidRPr="000C5B86" w:rsidRDefault="00B2231F" w:rsidP="0010677B">
            <w:pPr>
              <w:spacing w:line="276" w:lineRule="auto"/>
              <w:jc w:val="both"/>
              <w:outlineLvl w:val="0"/>
              <w:rPr>
                <w:sz w:val="16"/>
                <w:szCs w:val="16"/>
              </w:rPr>
            </w:pPr>
          </w:p>
          <w:p w14:paraId="5D8403B8" w14:textId="77777777" w:rsidR="00034225" w:rsidRPr="007805CF" w:rsidRDefault="00034225" w:rsidP="0010677B">
            <w:pPr>
              <w:spacing w:line="276" w:lineRule="auto"/>
              <w:jc w:val="both"/>
              <w:outlineLvl w:val="0"/>
              <w:rPr>
                <w:u w:val="single"/>
                <w:lang w:val="en-GB"/>
              </w:rPr>
            </w:pPr>
            <w:r w:rsidRPr="007805CF">
              <w:rPr>
                <w:u w:val="single"/>
                <w:lang w:val="en-GB"/>
              </w:rPr>
              <w:t>Point of contact for this program</w:t>
            </w:r>
            <w:r w:rsidRPr="007805CF">
              <w:rPr>
                <w:lang w:val="en-GB"/>
              </w:rPr>
              <w:t>:</w:t>
            </w:r>
          </w:p>
          <w:p w14:paraId="2C8F80C3" w14:textId="77777777" w:rsidR="00034225" w:rsidRPr="00C41B6F" w:rsidRDefault="00034225" w:rsidP="0010677B">
            <w:pPr>
              <w:spacing w:line="276" w:lineRule="auto"/>
              <w:jc w:val="both"/>
              <w:outlineLvl w:val="0"/>
              <w:rPr>
                <w:lang w:val="nl-BE"/>
              </w:rPr>
            </w:pPr>
            <w:r w:rsidRPr="00C41B6F">
              <w:rPr>
                <w:lang w:val="nl-BE"/>
              </w:rPr>
              <w:t>Dr Anke Van den broeck</w:t>
            </w:r>
          </w:p>
          <w:p w14:paraId="184B874B" w14:textId="77777777" w:rsidR="00034225" w:rsidRPr="00C41B6F" w:rsidRDefault="001A368D" w:rsidP="0010677B">
            <w:pPr>
              <w:spacing w:line="276" w:lineRule="auto"/>
              <w:jc w:val="both"/>
              <w:outlineLvl w:val="0"/>
              <w:rPr>
                <w:lang w:val="nl-BE"/>
              </w:rPr>
            </w:pPr>
            <w:r w:rsidRPr="00C41B6F">
              <w:rPr>
                <w:lang w:val="nl-BE"/>
              </w:rPr>
              <w:t xml:space="preserve">Telecomlaan </w:t>
            </w:r>
            <w:r w:rsidR="00034225" w:rsidRPr="00C41B6F">
              <w:rPr>
                <w:lang w:val="nl-BE"/>
              </w:rPr>
              <w:t>5</w:t>
            </w:r>
            <w:r w:rsidRPr="00C41B6F">
              <w:rPr>
                <w:lang w:val="nl-BE"/>
              </w:rPr>
              <w:t>-7</w:t>
            </w:r>
          </w:p>
          <w:p w14:paraId="2492028B" w14:textId="77777777" w:rsidR="00DA0A1F" w:rsidRPr="007805CF" w:rsidRDefault="001A368D" w:rsidP="0010677B">
            <w:pPr>
              <w:spacing w:line="276" w:lineRule="auto"/>
              <w:jc w:val="both"/>
              <w:outlineLvl w:val="0"/>
              <w:rPr>
                <w:lang w:val="en-GB"/>
              </w:rPr>
            </w:pPr>
            <w:r w:rsidRPr="007805CF">
              <w:rPr>
                <w:lang w:val="en-GB"/>
              </w:rPr>
              <w:t>1831 Diegem</w:t>
            </w:r>
          </w:p>
          <w:p w14:paraId="10784E1D" w14:textId="77777777" w:rsidR="00DA0A1F" w:rsidRPr="007805CF" w:rsidRDefault="00DA0A1F" w:rsidP="0010677B">
            <w:pPr>
              <w:spacing w:line="276" w:lineRule="auto"/>
              <w:jc w:val="both"/>
              <w:outlineLvl w:val="0"/>
              <w:rPr>
                <w:lang w:val="en-GB"/>
              </w:rPr>
            </w:pPr>
            <w:r w:rsidRPr="007805CF">
              <w:rPr>
                <w:lang w:val="en-GB"/>
              </w:rPr>
              <w:t>Tel: +32 2 775 27 81</w:t>
            </w:r>
          </w:p>
          <w:p w14:paraId="72596A2D" w14:textId="77777777" w:rsidR="00034225" w:rsidRPr="007805CF" w:rsidRDefault="00DA0A1F" w:rsidP="0010677B">
            <w:pPr>
              <w:spacing w:line="276" w:lineRule="auto"/>
              <w:jc w:val="both"/>
              <w:outlineLvl w:val="0"/>
              <w:rPr>
                <w:lang w:val="en-GB"/>
              </w:rPr>
            </w:pPr>
            <w:r w:rsidRPr="007805CF">
              <w:rPr>
                <w:lang w:val="en-GB"/>
              </w:rPr>
              <w:t>Email: anke.van.den.broeck@amgen.com</w:t>
            </w:r>
          </w:p>
        </w:tc>
      </w:tr>
      <w:tr w:rsidR="00034225" w:rsidRPr="004800B4" w14:paraId="3C618521" w14:textId="77777777" w:rsidTr="006903EB">
        <w:tc>
          <w:tcPr>
            <w:tcW w:w="2836" w:type="dxa"/>
            <w:vAlign w:val="center"/>
          </w:tcPr>
          <w:p w14:paraId="3E96CE63" w14:textId="77777777" w:rsidR="00034225" w:rsidRPr="007805CF" w:rsidRDefault="00034225" w:rsidP="00316445">
            <w:pPr>
              <w:spacing w:line="276" w:lineRule="auto"/>
              <w:jc w:val="both"/>
              <w:outlineLvl w:val="0"/>
              <w:rPr>
                <w:lang w:val="en-GB"/>
              </w:rPr>
            </w:pPr>
            <w:r w:rsidRPr="007805CF">
              <w:rPr>
                <w:lang w:val="en-GB"/>
              </w:rPr>
              <w:t>Modalities for the disposal</w:t>
            </w:r>
          </w:p>
        </w:tc>
        <w:tc>
          <w:tcPr>
            <w:tcW w:w="7371" w:type="dxa"/>
            <w:vAlign w:val="center"/>
          </w:tcPr>
          <w:p w14:paraId="3A7883B5" w14:textId="77777777" w:rsidR="00034225" w:rsidRPr="007805CF" w:rsidRDefault="00034225" w:rsidP="0010677B">
            <w:pPr>
              <w:spacing w:line="276" w:lineRule="auto"/>
              <w:jc w:val="both"/>
              <w:outlineLvl w:val="0"/>
              <w:rPr>
                <w:lang w:val="en-GB"/>
              </w:rPr>
            </w:pPr>
            <w:r w:rsidRPr="007805CF">
              <w:rPr>
                <w:rFonts w:cs="Arial"/>
                <w:lang w:val="en-GB"/>
              </w:rPr>
              <w:t>Any unused medication needs to be returned to Amgen or destroyed in an appropriate facility as soon as possible after the pati</w:t>
            </w:r>
            <w:r w:rsidR="00DF5B4C" w:rsidRPr="007805CF">
              <w:rPr>
                <w:rFonts w:cs="Arial"/>
                <w:lang w:val="en-GB"/>
              </w:rPr>
              <w:t>ent’s discontinuation from the c</w:t>
            </w:r>
            <w:r w:rsidRPr="007805CF">
              <w:rPr>
                <w:rFonts w:cs="Arial"/>
                <w:lang w:val="en-GB"/>
              </w:rPr>
              <w:t>ompassionate use program. The medication delivered for an individual patient request in the contex</w:t>
            </w:r>
            <w:r w:rsidR="00DF5B4C" w:rsidRPr="007805CF">
              <w:rPr>
                <w:rFonts w:cs="Arial"/>
                <w:lang w:val="en-GB"/>
              </w:rPr>
              <w:t>t of a c</w:t>
            </w:r>
            <w:r w:rsidRPr="007805CF">
              <w:rPr>
                <w:rFonts w:cs="Arial"/>
                <w:lang w:val="en-GB"/>
              </w:rPr>
              <w:t>ompassionate use program can only be used for that particular patient</w:t>
            </w:r>
            <w:r w:rsidR="00F07EB9" w:rsidRPr="007805CF">
              <w:rPr>
                <w:rFonts w:cs="Arial"/>
                <w:lang w:val="en-GB"/>
              </w:rPr>
              <w:t>.</w:t>
            </w:r>
          </w:p>
        </w:tc>
      </w:tr>
      <w:tr w:rsidR="00034225" w:rsidRPr="004800B4" w14:paraId="1D53575C" w14:textId="77777777" w:rsidTr="006903EB">
        <w:tc>
          <w:tcPr>
            <w:tcW w:w="2836" w:type="dxa"/>
            <w:vAlign w:val="center"/>
          </w:tcPr>
          <w:p w14:paraId="043D1CAE" w14:textId="77777777" w:rsidR="00034225" w:rsidRPr="007805CF" w:rsidRDefault="00034225" w:rsidP="00316445">
            <w:pPr>
              <w:spacing w:line="276" w:lineRule="auto"/>
              <w:jc w:val="both"/>
              <w:outlineLvl w:val="0"/>
              <w:rPr>
                <w:rFonts w:eastAsiaTheme="majorEastAsia" w:cstheme="majorBidi"/>
                <w:b/>
                <w:bCs/>
                <w:color w:val="365F91" w:themeColor="accent1" w:themeShade="BF"/>
                <w:lang w:val="en-GB"/>
              </w:rPr>
            </w:pPr>
            <w:r w:rsidRPr="007805CF">
              <w:rPr>
                <w:lang w:val="en-GB"/>
              </w:rPr>
              <w:t xml:space="preserve">The information for registration of suspected </w:t>
            </w:r>
            <w:r w:rsidRPr="007805CF">
              <w:rPr>
                <w:lang w:val="en-GB"/>
              </w:rPr>
              <w:lastRenderedPageBreak/>
              <w:t>unexpected serious adverse reactions</w:t>
            </w:r>
          </w:p>
        </w:tc>
        <w:tc>
          <w:tcPr>
            <w:tcW w:w="7371" w:type="dxa"/>
            <w:vAlign w:val="center"/>
          </w:tcPr>
          <w:p w14:paraId="378202F2" w14:textId="77777777" w:rsidR="00900E04" w:rsidRPr="007805CF" w:rsidRDefault="00900E04" w:rsidP="0010677B">
            <w:pPr>
              <w:spacing w:line="276" w:lineRule="auto"/>
              <w:ind w:right="26"/>
              <w:jc w:val="both"/>
              <w:rPr>
                <w:rFonts w:cs="Arial"/>
                <w:lang w:val="en-GB"/>
              </w:rPr>
            </w:pPr>
            <w:r w:rsidRPr="007805CF">
              <w:rPr>
                <w:rFonts w:cs="Arial"/>
                <w:lang w:val="en-GB"/>
              </w:rPr>
              <w:lastRenderedPageBreak/>
              <w:t xml:space="preserve">Physicians are requested to report </w:t>
            </w:r>
            <w:r w:rsidRPr="007805CF">
              <w:rPr>
                <w:rFonts w:cs="Arial"/>
                <w:u w:val="single"/>
                <w:lang w:val="en-GB"/>
              </w:rPr>
              <w:t xml:space="preserve">all adverse events (non-serious and serious) and  other safety findings </w:t>
            </w:r>
            <w:r w:rsidRPr="007805CF">
              <w:rPr>
                <w:rFonts w:cs="Arial"/>
                <w:lang w:val="en-GB"/>
              </w:rPr>
              <w:t xml:space="preserve">by </w:t>
            </w:r>
            <w:r w:rsidRPr="007805CF">
              <w:rPr>
                <w:rFonts w:cs="Arial"/>
                <w:u w:val="single"/>
                <w:lang w:val="en-GB"/>
              </w:rPr>
              <w:t>OR</w:t>
            </w:r>
            <w:r w:rsidRPr="007805CF">
              <w:rPr>
                <w:rFonts w:cs="Arial"/>
                <w:lang w:val="en-GB"/>
              </w:rPr>
              <w:t xml:space="preserve"> faxing a completed, signed and dated Safety Report Form to the Amgen – Belgian Safety Department (Safety fax nr: 0800 80 </w:t>
            </w:r>
            <w:r w:rsidRPr="007805CF">
              <w:rPr>
                <w:rFonts w:cs="Arial"/>
                <w:lang w:val="en-GB"/>
              </w:rPr>
              <w:lastRenderedPageBreak/>
              <w:t xml:space="preserve">877 ) within one working day </w:t>
            </w:r>
            <w:r w:rsidRPr="007805CF">
              <w:rPr>
                <w:rFonts w:cs="Arial"/>
                <w:u w:val="single"/>
                <w:lang w:val="en-GB"/>
              </w:rPr>
              <w:t>OR</w:t>
            </w:r>
            <w:r w:rsidRPr="007805CF">
              <w:rPr>
                <w:rFonts w:cs="Arial"/>
                <w:lang w:val="en-GB"/>
              </w:rPr>
              <w:t xml:space="preserve"> mailing a completed, signed and dated Safety Report Form to the email </w:t>
            </w:r>
            <w:hyperlink r:id="rId12" w:history="1">
              <w:r w:rsidRPr="007805CF">
                <w:rPr>
                  <w:rStyle w:val="Hyperlink"/>
                  <w:rFonts w:cs="Arial"/>
                  <w:color w:val="auto"/>
                  <w:lang w:val="en-GB"/>
                </w:rPr>
                <w:t>svc-ags-in-be@amgen.com</w:t>
              </w:r>
            </w:hyperlink>
            <w:r w:rsidRPr="007805CF">
              <w:rPr>
                <w:rFonts w:cs="Arial"/>
                <w:lang w:val="en-GB"/>
              </w:rPr>
              <w:t xml:space="preserve"> within one working day.</w:t>
            </w:r>
            <w:r w:rsidR="00E77B4C" w:rsidRPr="007805CF">
              <w:rPr>
                <w:rFonts w:cs="Arial"/>
                <w:lang w:val="en-GB"/>
              </w:rPr>
              <w:t xml:space="preserve"> </w:t>
            </w:r>
            <w:r w:rsidRPr="007805CF">
              <w:rPr>
                <w:rFonts w:cs="Arial"/>
                <w:lang w:val="en-GB"/>
              </w:rPr>
              <w:t>The physician may be asked to provide follow-up information on the reported event.</w:t>
            </w:r>
          </w:p>
          <w:p w14:paraId="11B7DF8C" w14:textId="56388032" w:rsidR="00E77B4C" w:rsidRPr="007805CF" w:rsidRDefault="00E77B4C" w:rsidP="0010677B">
            <w:pPr>
              <w:spacing w:line="276" w:lineRule="auto"/>
              <w:ind w:right="26"/>
              <w:jc w:val="both"/>
              <w:rPr>
                <w:rFonts w:cs="Arial"/>
                <w:lang w:val="en-GB"/>
              </w:rPr>
            </w:pPr>
          </w:p>
          <w:p w14:paraId="5607CB56" w14:textId="77777777" w:rsidR="00900E04" w:rsidRPr="007805CF" w:rsidRDefault="00900E04" w:rsidP="0010677B">
            <w:pPr>
              <w:spacing w:line="276" w:lineRule="auto"/>
              <w:ind w:right="26"/>
              <w:jc w:val="both"/>
              <w:rPr>
                <w:rFonts w:cs="Arial"/>
                <w:lang w:val="en-GB"/>
              </w:rPr>
            </w:pPr>
            <w:r w:rsidRPr="007805CF">
              <w:rPr>
                <w:rFonts w:cs="Arial"/>
                <w:lang w:val="en-GB"/>
              </w:rPr>
              <w:t>In case of an adverse event, the treating physician will decide on the further treatment with blinatumomab, and on the actions needed</w:t>
            </w:r>
            <w:r w:rsidR="004366C3" w:rsidRPr="007805CF">
              <w:rPr>
                <w:rFonts w:cs="Arial"/>
                <w:lang w:val="en-GB"/>
              </w:rPr>
              <w:t xml:space="preserve"> to take</w:t>
            </w:r>
            <w:r w:rsidRPr="007805CF">
              <w:rPr>
                <w:rFonts w:cs="Arial"/>
                <w:lang w:val="en-GB"/>
              </w:rPr>
              <w:t>.</w:t>
            </w:r>
          </w:p>
          <w:p w14:paraId="0410750B" w14:textId="77777777" w:rsidR="00900E04" w:rsidRPr="007805CF" w:rsidRDefault="00900E04" w:rsidP="0010677B">
            <w:pPr>
              <w:spacing w:line="276" w:lineRule="auto"/>
              <w:ind w:right="26"/>
              <w:jc w:val="both"/>
              <w:rPr>
                <w:rFonts w:cs="Arial"/>
                <w:lang w:val="en-GB"/>
              </w:rPr>
            </w:pPr>
          </w:p>
          <w:p w14:paraId="0666CF76" w14:textId="77777777" w:rsidR="00D603F4" w:rsidRPr="007805CF" w:rsidRDefault="00D603F4" w:rsidP="0010677B">
            <w:pPr>
              <w:suppressLineNumbers/>
              <w:spacing w:line="276" w:lineRule="auto"/>
              <w:outlineLvl w:val="0"/>
              <w:rPr>
                <w:rFonts w:cs="Arial"/>
                <w:lang w:val="en-GB"/>
              </w:rPr>
            </w:pPr>
            <w:r w:rsidRPr="007805CF">
              <w:rPr>
                <w:rFonts w:cs="Arial"/>
                <w:lang w:val="en-GB"/>
              </w:rPr>
              <w:t>The most serious adverse reactions that may occur during blinatumomab treatment include: infections (24.8%), neurologic events (13.8%), neutropenia/febrile neutropenia (10.1%)%), cytokine release syndrome (3.3%), and tumour lysis syndrome (0.7%).</w:t>
            </w:r>
          </w:p>
          <w:p w14:paraId="313198A4" w14:textId="77777777" w:rsidR="00D603F4" w:rsidRPr="007805CF" w:rsidRDefault="00D603F4" w:rsidP="0010677B">
            <w:pPr>
              <w:suppressLineNumbers/>
              <w:spacing w:line="276" w:lineRule="auto"/>
              <w:outlineLvl w:val="0"/>
              <w:rPr>
                <w:rFonts w:cs="Arial"/>
                <w:lang w:val="en-GB"/>
              </w:rPr>
            </w:pPr>
          </w:p>
          <w:p w14:paraId="778AA7C6" w14:textId="7F3A0A73" w:rsidR="00034225" w:rsidRPr="007805CF" w:rsidRDefault="00D603F4" w:rsidP="0010677B">
            <w:pPr>
              <w:suppressLineNumbers/>
              <w:spacing w:line="276" w:lineRule="auto"/>
              <w:outlineLvl w:val="0"/>
              <w:rPr>
                <w:rFonts w:cs="Arial"/>
                <w:lang w:val="en-GB"/>
              </w:rPr>
            </w:pPr>
            <w:r w:rsidRPr="007805CF">
              <w:rPr>
                <w:rFonts w:cs="Arial"/>
                <w:lang w:val="en-GB"/>
              </w:rPr>
              <w:t>The most common adverse reactions were: pyrexia (69.2%), infusion-related reactions (43.4%), infections – pathogen unspecified (42.1%), headache (32.9%), anaemia (22.8%), thrombocytopenia (20.9%), febrile neutropenia (20.2%), oedema (20.0%), neutropenia (19.7%), rash (16.7%), increased liver hepatic enzymes (16.1%), bacterial infectious disorders (15.4%), tremor (15.2%), cough (15.1%), leukopenia (13.4%), back pain (13.3%), chills (13.0%), hypotension (12.8%), viral infectious disorders (12.7%), decreased immunoglobulins (12.5%), cytokine release syndrome (11.6%), tachycardia (11.3%), insomnia (10.7%), fungal infectious disorders (10.6%) and pain in extremity (10.2%).</w:t>
            </w:r>
          </w:p>
        </w:tc>
      </w:tr>
    </w:tbl>
    <w:p w14:paraId="2D6A2754" w14:textId="7D6B1C38" w:rsidR="005170EF" w:rsidRDefault="005170EF" w:rsidP="00316445">
      <w:pPr>
        <w:spacing w:after="0"/>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371"/>
      </w:tblGrid>
      <w:tr w:rsidR="00035898" w:rsidRPr="00821640" w14:paraId="4D5DBD64" w14:textId="77777777" w:rsidTr="009A25FC">
        <w:trPr>
          <w:trHeight w:val="411"/>
        </w:trPr>
        <w:tc>
          <w:tcPr>
            <w:tcW w:w="2836" w:type="dxa"/>
            <w:vAlign w:val="center"/>
          </w:tcPr>
          <w:p w14:paraId="4206ADFA" w14:textId="77777777" w:rsidR="00035898" w:rsidRPr="007805CF" w:rsidRDefault="00035898" w:rsidP="00035898">
            <w:pPr>
              <w:keepNext/>
              <w:keepLines/>
              <w:pageBreakBefore/>
              <w:spacing w:after="0" w:line="240" w:lineRule="auto"/>
              <w:outlineLvl w:val="0"/>
              <w:rPr>
                <w:lang w:val="fr-BE"/>
              </w:rPr>
            </w:pPr>
            <w:r w:rsidRPr="007805CF">
              <w:rPr>
                <w:lang w:val="fr-BE"/>
              </w:rPr>
              <w:lastRenderedPageBreak/>
              <w:t>Nom du médicament</w:t>
            </w:r>
          </w:p>
        </w:tc>
        <w:tc>
          <w:tcPr>
            <w:tcW w:w="7371" w:type="dxa"/>
            <w:vAlign w:val="center"/>
          </w:tcPr>
          <w:p w14:paraId="154D3101" w14:textId="04126842" w:rsidR="00035898" w:rsidRPr="007805CF" w:rsidRDefault="00035898" w:rsidP="0010677B">
            <w:pPr>
              <w:keepNext/>
              <w:keepLines/>
              <w:pageBreakBefore/>
              <w:spacing w:after="0"/>
              <w:outlineLvl w:val="0"/>
              <w:rPr>
                <w:lang w:val="fr-BE"/>
              </w:rPr>
            </w:pPr>
            <w:r w:rsidRPr="007805CF">
              <w:rPr>
                <w:lang w:val="fr-BE"/>
              </w:rPr>
              <w:t>BLINCYTO®</w:t>
            </w:r>
          </w:p>
        </w:tc>
      </w:tr>
      <w:tr w:rsidR="00035898" w:rsidRPr="00035898" w14:paraId="7B48C2D4" w14:textId="77777777" w:rsidTr="009A25FC">
        <w:trPr>
          <w:trHeight w:val="784"/>
        </w:trPr>
        <w:tc>
          <w:tcPr>
            <w:tcW w:w="2836" w:type="dxa"/>
            <w:vAlign w:val="center"/>
          </w:tcPr>
          <w:p w14:paraId="203790DA" w14:textId="77777777" w:rsidR="00035898" w:rsidRPr="007805CF" w:rsidRDefault="00035898" w:rsidP="00035898">
            <w:pPr>
              <w:keepNext/>
              <w:keepLines/>
              <w:spacing w:after="0" w:line="240" w:lineRule="auto"/>
              <w:outlineLvl w:val="0"/>
              <w:rPr>
                <w:lang w:val="fr-BE"/>
              </w:rPr>
            </w:pPr>
            <w:r w:rsidRPr="007805CF">
              <w:rPr>
                <w:lang w:val="fr-BE"/>
              </w:rPr>
              <w:t>Nom de la substance active</w:t>
            </w:r>
          </w:p>
        </w:tc>
        <w:tc>
          <w:tcPr>
            <w:tcW w:w="7371" w:type="dxa"/>
            <w:vAlign w:val="center"/>
          </w:tcPr>
          <w:p w14:paraId="0EBCC7C6" w14:textId="51366A64" w:rsidR="00035898" w:rsidRPr="007805CF" w:rsidRDefault="00035898" w:rsidP="0010677B">
            <w:pPr>
              <w:keepNext/>
              <w:keepLines/>
              <w:spacing w:after="0"/>
              <w:outlineLvl w:val="0"/>
              <w:rPr>
                <w:lang w:val="fr-BE"/>
              </w:rPr>
            </w:pPr>
            <w:r w:rsidRPr="007805CF">
              <w:rPr>
                <w:lang w:val="fr-BE"/>
              </w:rPr>
              <w:t>blinatumomab</w:t>
            </w:r>
          </w:p>
        </w:tc>
      </w:tr>
      <w:tr w:rsidR="00035898" w:rsidRPr="000C5B86" w14:paraId="0A9FF1BD" w14:textId="77777777" w:rsidTr="009A25FC">
        <w:trPr>
          <w:trHeight w:val="851"/>
        </w:trPr>
        <w:tc>
          <w:tcPr>
            <w:tcW w:w="2836" w:type="dxa"/>
            <w:vAlign w:val="center"/>
          </w:tcPr>
          <w:p w14:paraId="31673F4B" w14:textId="77777777" w:rsidR="00035898" w:rsidRPr="007805CF" w:rsidRDefault="00035898" w:rsidP="00035898">
            <w:pPr>
              <w:keepNext/>
              <w:keepLines/>
              <w:spacing w:after="0" w:line="240" w:lineRule="auto"/>
              <w:outlineLvl w:val="0"/>
              <w:rPr>
                <w:lang w:val="fr-BE"/>
              </w:rPr>
            </w:pPr>
            <w:r w:rsidRPr="007805CF">
              <w:rPr>
                <w:lang w:val="fr-BE"/>
              </w:rPr>
              <w:t xml:space="preserve">Indication et conditions d’utilisation </w:t>
            </w:r>
          </w:p>
        </w:tc>
        <w:tc>
          <w:tcPr>
            <w:tcW w:w="7371" w:type="dxa"/>
            <w:vAlign w:val="center"/>
          </w:tcPr>
          <w:p w14:paraId="1C8A7982" w14:textId="6D543AC6" w:rsidR="00035898" w:rsidRPr="007805CF" w:rsidRDefault="00035898" w:rsidP="0010677B">
            <w:pPr>
              <w:spacing w:after="0"/>
              <w:jc w:val="both"/>
              <w:outlineLvl w:val="0"/>
              <w:rPr>
                <w:highlight w:val="yellow"/>
                <w:lang w:val="fr-BE"/>
              </w:rPr>
            </w:pPr>
            <w:r w:rsidRPr="007805CF">
              <w:rPr>
                <w:u w:val="single"/>
                <w:lang w:val="fr-BE"/>
              </w:rPr>
              <w:t>Indication</w:t>
            </w:r>
            <w:r w:rsidR="003A6444" w:rsidRPr="007805CF">
              <w:rPr>
                <w:u w:val="single"/>
                <w:lang w:val="fr-BE"/>
              </w:rPr>
              <w:t> </w:t>
            </w:r>
            <w:r w:rsidRPr="007805CF">
              <w:rPr>
                <w:lang w:val="fr-BE"/>
              </w:rPr>
              <w:t xml:space="preserve">: </w:t>
            </w:r>
            <w:r w:rsidR="00256708" w:rsidRPr="007805CF">
              <w:rPr>
                <w:lang w:val="fr-BE"/>
              </w:rPr>
              <w:t>Traitement des patients adultes présentant une leucémie aiguë lymphoblastique (LAL) à précurseurs B exprimant le CD19 avec chromosome Philadelphie négatif en première ou seconde rémission complète avec une maladie résiduelle minimale (MRD) positive égale ou supérieure à 0,1%.</w:t>
            </w:r>
          </w:p>
          <w:p w14:paraId="076421C2" w14:textId="77777777" w:rsidR="00035898" w:rsidRPr="007805CF" w:rsidRDefault="00035898" w:rsidP="0010677B">
            <w:pPr>
              <w:spacing w:after="0"/>
              <w:jc w:val="both"/>
              <w:outlineLvl w:val="0"/>
              <w:rPr>
                <w:highlight w:val="yellow"/>
                <w:lang w:val="fr-BE"/>
              </w:rPr>
            </w:pPr>
          </w:p>
          <w:p w14:paraId="60C3E5DD" w14:textId="6DFB8C12" w:rsidR="00BF6900" w:rsidRPr="007805CF" w:rsidRDefault="00035898" w:rsidP="0010677B">
            <w:pPr>
              <w:autoSpaceDE w:val="0"/>
              <w:autoSpaceDN w:val="0"/>
              <w:adjustRightInd w:val="0"/>
              <w:spacing w:after="0"/>
              <w:jc w:val="both"/>
              <w:rPr>
                <w:lang w:val="fr-BE"/>
              </w:rPr>
            </w:pPr>
            <w:r w:rsidRPr="007805CF">
              <w:rPr>
                <w:u w:val="single"/>
                <w:lang w:val="fr-BE"/>
              </w:rPr>
              <w:t>Conditions d’utilisation</w:t>
            </w:r>
            <w:r w:rsidR="003A6444" w:rsidRPr="007805CF">
              <w:rPr>
                <w:u w:val="single"/>
                <w:lang w:val="fr-BE"/>
              </w:rPr>
              <w:t> </w:t>
            </w:r>
            <w:r w:rsidRPr="007805CF">
              <w:rPr>
                <w:lang w:val="fr-BE"/>
              </w:rPr>
              <w:t>: Blinatumomab</w:t>
            </w:r>
            <w:r w:rsidRPr="007805CF">
              <w:rPr>
                <w:rFonts w:cs="Arial"/>
                <w:lang w:val="fr-BE"/>
              </w:rPr>
              <w:t xml:space="preserve"> </w:t>
            </w:r>
            <w:r w:rsidR="00BF6900" w:rsidRPr="007805CF">
              <w:rPr>
                <w:rFonts w:cs="Arial"/>
                <w:lang w:val="fr-BE"/>
              </w:rPr>
              <w:t>est administrée en perfusion intraveineuse continue délivrée à un débit constant à l’aide d’une pompe à perfusion pendant une durée allant jusqu’à 96 heures</w:t>
            </w:r>
            <w:r w:rsidRPr="007805CF">
              <w:rPr>
                <w:rFonts w:cs="Arial"/>
                <w:lang w:val="fr-BE"/>
              </w:rPr>
              <w:t xml:space="preserve">. </w:t>
            </w:r>
            <w:r w:rsidR="00BF6900" w:rsidRPr="007805CF">
              <w:rPr>
                <w:lang w:val="fr-BE"/>
              </w:rPr>
              <w:t>Les patients recevront au moins un cycle de traitement. Un cycle de traitement est constitué de 4 semaines de perfusion intraveineuse continue suivis par une période de repos sans traitement de 2 semaines Les patients ne subissant pas de greffe de cellules souches hématopoïétiques (HSCT) peuvent recevoir jusqu'à 4 cycles de traitement par blinatumomab. Si les patients conviennent pour une HSCT allogénique après un traitement avec au moins un cycle de traitement de blinatumomab, ils peuvent subir une HSCT allogénique au lieu de recevoir de nouveaux cycles de blinatumomab.</w:t>
            </w:r>
          </w:p>
          <w:p w14:paraId="05F5B80C" w14:textId="77777777" w:rsidR="00035898" w:rsidRPr="007805CF" w:rsidRDefault="00035898" w:rsidP="0010677B">
            <w:pPr>
              <w:autoSpaceDE w:val="0"/>
              <w:autoSpaceDN w:val="0"/>
              <w:adjustRightInd w:val="0"/>
              <w:spacing w:after="0"/>
              <w:jc w:val="both"/>
              <w:rPr>
                <w:rFonts w:cs="Arial"/>
                <w:lang w:val="fr-BE"/>
              </w:rPr>
            </w:pPr>
          </w:p>
          <w:p w14:paraId="60F3F8E2" w14:textId="5569ED55" w:rsidR="00035898" w:rsidRPr="007805CF" w:rsidRDefault="00F46D6E" w:rsidP="00F46D6E">
            <w:pPr>
              <w:keepNext/>
              <w:keepLines/>
              <w:spacing w:after="0"/>
              <w:outlineLvl w:val="0"/>
              <w:rPr>
                <w:lang w:val="fr-BE"/>
              </w:rPr>
            </w:pPr>
            <w:r w:rsidRPr="007805CF">
              <w:rPr>
                <w:rFonts w:cs="Arial"/>
                <w:lang w:val="fr-BE"/>
              </w:rPr>
              <w:t xml:space="preserve">La </w:t>
            </w:r>
            <w:r w:rsidRPr="007805CF">
              <w:rPr>
                <w:lang w:val="fr-BE"/>
              </w:rPr>
              <w:t>dose recommandée</w:t>
            </w:r>
            <w:r w:rsidR="00035898" w:rsidRPr="007805CF">
              <w:rPr>
                <w:rFonts w:cs="Arial"/>
                <w:lang w:val="fr-BE"/>
              </w:rPr>
              <w:t xml:space="preserve"> </w:t>
            </w:r>
            <w:r w:rsidRPr="007805CF">
              <w:rPr>
                <w:rFonts w:cs="Arial"/>
                <w:lang w:val="fr-BE"/>
              </w:rPr>
              <w:t>de blinatumomab est</w:t>
            </w:r>
            <w:r w:rsidR="00035898" w:rsidRPr="007805CF">
              <w:rPr>
                <w:rFonts w:cs="Arial"/>
                <w:lang w:val="fr-BE"/>
              </w:rPr>
              <w:t xml:space="preserve"> 28 µ</w:t>
            </w:r>
            <w:r w:rsidRPr="007805CF">
              <w:rPr>
                <w:rFonts w:cs="Arial"/>
                <w:lang w:val="fr-BE"/>
              </w:rPr>
              <w:t>g/jour</w:t>
            </w:r>
            <w:r w:rsidR="00035898" w:rsidRPr="007805CF">
              <w:rPr>
                <w:rFonts w:cs="Arial"/>
                <w:lang w:val="fr-BE"/>
              </w:rPr>
              <w:t xml:space="preserve"> </w:t>
            </w:r>
            <w:r w:rsidRPr="007805CF">
              <w:rPr>
                <w:rFonts w:cs="Arial"/>
                <w:lang w:val="fr-BE"/>
              </w:rPr>
              <w:t>pour tous les cycles de traitement</w:t>
            </w:r>
            <w:r w:rsidR="00035898" w:rsidRPr="007805CF">
              <w:rPr>
                <w:rFonts w:cs="Arial"/>
                <w:lang w:val="fr-BE"/>
              </w:rPr>
              <w:t>.</w:t>
            </w:r>
          </w:p>
        </w:tc>
      </w:tr>
      <w:tr w:rsidR="0010677B" w:rsidRPr="000C5B86" w14:paraId="64D4DEC1" w14:textId="77777777" w:rsidTr="009A25FC">
        <w:trPr>
          <w:trHeight w:val="851"/>
        </w:trPr>
        <w:tc>
          <w:tcPr>
            <w:tcW w:w="2836" w:type="dxa"/>
            <w:vAlign w:val="center"/>
          </w:tcPr>
          <w:p w14:paraId="350987E6" w14:textId="77777777" w:rsidR="0010677B" w:rsidRPr="007805CF" w:rsidRDefault="0010677B" w:rsidP="00960009">
            <w:pPr>
              <w:spacing w:after="0" w:line="240" w:lineRule="auto"/>
              <w:outlineLvl w:val="0"/>
              <w:rPr>
                <w:lang w:val="fr-BE"/>
              </w:rPr>
            </w:pPr>
            <w:r w:rsidRPr="007805CF">
              <w:rPr>
                <w:lang w:val="fr-BE"/>
              </w:rPr>
              <w:t>Conditions, délais et modalités dan lesquelles les patients  sont admis dans le programme</w:t>
            </w:r>
          </w:p>
        </w:tc>
        <w:tc>
          <w:tcPr>
            <w:tcW w:w="7371" w:type="dxa"/>
            <w:vAlign w:val="center"/>
          </w:tcPr>
          <w:p w14:paraId="0613A645" w14:textId="03DC42A4" w:rsidR="0010677B" w:rsidRPr="007805CF" w:rsidRDefault="00486AEA" w:rsidP="00960009">
            <w:pPr>
              <w:spacing w:after="0"/>
              <w:jc w:val="both"/>
              <w:outlineLvl w:val="0"/>
              <w:rPr>
                <w:u w:val="single"/>
                <w:lang w:val="fr-BE"/>
              </w:rPr>
            </w:pPr>
            <w:r w:rsidRPr="007805CF">
              <w:rPr>
                <w:u w:val="single"/>
                <w:lang w:val="fr-BE"/>
              </w:rPr>
              <w:t>Critères d’inclusion</w:t>
            </w:r>
            <w:r w:rsidR="003A6444" w:rsidRPr="007805CF">
              <w:rPr>
                <w:u w:val="single"/>
                <w:lang w:val="fr-BE"/>
              </w:rPr>
              <w:t> </w:t>
            </w:r>
            <w:r w:rsidR="0010677B" w:rsidRPr="007805CF">
              <w:rPr>
                <w:lang w:val="fr-BE"/>
              </w:rPr>
              <w:t>:</w:t>
            </w:r>
          </w:p>
          <w:p w14:paraId="1C5C4703" w14:textId="79EE4043" w:rsidR="00157532" w:rsidRPr="007805CF" w:rsidRDefault="00157532" w:rsidP="003A6444">
            <w:pPr>
              <w:pStyle w:val="ListParagraph"/>
              <w:numPr>
                <w:ilvl w:val="0"/>
                <w:numId w:val="15"/>
              </w:numPr>
              <w:spacing w:after="0"/>
              <w:ind w:left="425" w:hanging="425"/>
              <w:jc w:val="both"/>
              <w:rPr>
                <w:rFonts w:cs="Arial"/>
                <w:bCs/>
                <w:lang w:val="fr-BE"/>
              </w:rPr>
            </w:pPr>
            <w:r w:rsidRPr="007805CF">
              <w:rPr>
                <w:lang w:val="fr-BE"/>
              </w:rPr>
              <w:t>Les patients présentant une LAL à précurseurs B exprimant le CD19 avec chromosome Philadelphie négatif en première ou seconde rémission hématologique complète (définie comme un taux de blastes médullaires &lt; 5 %, un nombre absolu de polynucléaires neutrophiles ≥ 1 000/microlitre, un taux de plaquettes ≥ 50 000/microlitre et un taux d’hémoglobine ≥ 9 g/dl) après au moins trois blocs de chimiothérapie intense* (par exemple, induction par GMALL I-II/consolidation I, induction/intensification/consolidation ou trois blocs de Hyper CVAD)</w:t>
            </w:r>
          </w:p>
          <w:p w14:paraId="05D126FC" w14:textId="6E642C6F" w:rsidR="00157532" w:rsidRPr="007805CF" w:rsidRDefault="00157532" w:rsidP="003A6444">
            <w:pPr>
              <w:pStyle w:val="ListParagraph"/>
              <w:numPr>
                <w:ilvl w:val="0"/>
                <w:numId w:val="15"/>
              </w:numPr>
              <w:spacing w:after="0"/>
              <w:ind w:left="425" w:hanging="425"/>
              <w:jc w:val="both"/>
              <w:rPr>
                <w:rFonts w:cs="Arial"/>
                <w:bCs/>
                <w:lang w:val="fr-BE"/>
              </w:rPr>
            </w:pPr>
            <w:r w:rsidRPr="007805CF">
              <w:rPr>
                <w:rFonts w:cs="Arial"/>
                <w:bCs/>
                <w:lang w:val="fr-BE"/>
              </w:rPr>
              <w:t>Présence d'une maladie résiduelle minimale (MRD) à un niveau de ≥ 0,1% documentée après un intervalle d'au moins 2 semaines à compter de la dernière chimiothérapie systémique par une méthodologie validée et un test avec une sensibilité minimale de 10</w:t>
            </w:r>
            <w:r w:rsidRPr="007805CF">
              <w:rPr>
                <w:rFonts w:cs="Arial"/>
                <w:bCs/>
                <w:vertAlign w:val="superscript"/>
                <w:lang w:val="fr-BE"/>
              </w:rPr>
              <w:t>-4</w:t>
            </w:r>
            <w:r w:rsidRPr="007805CF">
              <w:rPr>
                <w:rFonts w:cs="Arial"/>
                <w:bCs/>
                <w:lang w:val="fr-BE"/>
              </w:rPr>
              <w:t xml:space="preserve"> réalisés dans un centre de traitement spécialisé avec un laboratoire qui possède une expertise dans les tests MRD</w:t>
            </w:r>
          </w:p>
          <w:p w14:paraId="118D4511" w14:textId="0C328064" w:rsidR="00157532" w:rsidRPr="007805CF" w:rsidRDefault="00157532" w:rsidP="003A6444">
            <w:pPr>
              <w:pStyle w:val="ListParagraph"/>
              <w:numPr>
                <w:ilvl w:val="0"/>
                <w:numId w:val="15"/>
              </w:numPr>
              <w:spacing w:after="0"/>
              <w:ind w:left="425" w:hanging="425"/>
              <w:jc w:val="both"/>
              <w:rPr>
                <w:rFonts w:ascii="Calibri" w:hAnsi="Calibri" w:cs="Arial"/>
                <w:bCs/>
                <w:lang w:val="fr-BE"/>
              </w:rPr>
            </w:pPr>
            <w:r w:rsidRPr="007805CF">
              <w:rPr>
                <w:rFonts w:ascii="Calibri" w:hAnsi="Calibri" w:cs="Arial"/>
                <w:bCs/>
                <w:lang w:val="fr-BE"/>
              </w:rPr>
              <w:t>Âge ≥ 18 ans</w:t>
            </w:r>
          </w:p>
          <w:p w14:paraId="57D650D2" w14:textId="79E23367" w:rsidR="0010677B" w:rsidRPr="007805CF" w:rsidRDefault="00157532" w:rsidP="003A6444">
            <w:pPr>
              <w:pStyle w:val="ListParagraph"/>
              <w:numPr>
                <w:ilvl w:val="0"/>
                <w:numId w:val="15"/>
              </w:numPr>
              <w:spacing w:after="0"/>
              <w:ind w:left="425" w:hanging="425"/>
              <w:jc w:val="both"/>
              <w:rPr>
                <w:rFonts w:ascii="Calibri" w:hAnsi="Calibri" w:cs="Arial"/>
                <w:bCs/>
                <w:lang w:val="fr-BE"/>
              </w:rPr>
            </w:pPr>
            <w:r w:rsidRPr="007805CF">
              <w:rPr>
                <w:rFonts w:cs="Arial"/>
                <w:bCs/>
                <w:lang w:val="fr-BE"/>
              </w:rPr>
              <w:t>Fonction adéquate de la moelle osseuse</w:t>
            </w:r>
            <w:r w:rsidR="0010677B" w:rsidRPr="007805CF">
              <w:rPr>
                <w:rFonts w:cs="Arial"/>
                <w:bCs/>
                <w:lang w:val="fr-BE"/>
              </w:rPr>
              <w:t>**</w:t>
            </w:r>
          </w:p>
          <w:p w14:paraId="5F891529" w14:textId="73588448" w:rsidR="00F17554" w:rsidRPr="007805CF" w:rsidRDefault="00F17554" w:rsidP="003A6444">
            <w:pPr>
              <w:pStyle w:val="ListParagraph"/>
              <w:numPr>
                <w:ilvl w:val="0"/>
                <w:numId w:val="15"/>
              </w:numPr>
              <w:autoSpaceDE w:val="0"/>
              <w:autoSpaceDN w:val="0"/>
              <w:adjustRightInd w:val="0"/>
              <w:spacing w:after="0" w:line="240" w:lineRule="auto"/>
              <w:ind w:left="425" w:hanging="425"/>
              <w:jc w:val="both"/>
              <w:rPr>
                <w:rFonts w:ascii="Calibri" w:hAnsi="Calibri" w:cs="Arial"/>
                <w:bCs/>
                <w:lang w:val="fr-BE"/>
              </w:rPr>
            </w:pPr>
            <w:r w:rsidRPr="007805CF">
              <w:rPr>
                <w:rFonts w:ascii="Calibri" w:hAnsi="Calibri" w:cs="Calibri"/>
                <w:lang w:val="fr-BE"/>
              </w:rPr>
              <w:t>Le patient ne peut pas être traité de manière satisfaisante avec les traitements alternatifs approuv</w:t>
            </w:r>
            <w:r w:rsidR="00B93162">
              <w:rPr>
                <w:rFonts w:ascii="Calibri" w:hAnsi="Calibri" w:cs="Calibri"/>
                <w:lang w:val="fr-BE"/>
              </w:rPr>
              <w:t>é</w:t>
            </w:r>
            <w:r w:rsidRPr="007805CF">
              <w:rPr>
                <w:rFonts w:ascii="Calibri" w:hAnsi="Calibri" w:cs="Calibri"/>
                <w:lang w:val="fr-BE"/>
              </w:rPr>
              <w:t>s et disponibles sur le marché, conformément aux directives cliniques, en raison de problèmes d'efficacité et/ou d'innocuité.</w:t>
            </w:r>
          </w:p>
          <w:p w14:paraId="50ED0692" w14:textId="6D3BA89D" w:rsidR="00157532" w:rsidRPr="007805CF" w:rsidRDefault="00157532" w:rsidP="003A6444">
            <w:pPr>
              <w:pStyle w:val="ListParagraph"/>
              <w:numPr>
                <w:ilvl w:val="0"/>
                <w:numId w:val="15"/>
              </w:numPr>
              <w:spacing w:after="0"/>
              <w:ind w:left="425" w:hanging="425"/>
              <w:jc w:val="both"/>
              <w:rPr>
                <w:rFonts w:ascii="Calibri" w:hAnsi="Calibri" w:cs="Arial"/>
                <w:bCs/>
                <w:lang w:val="fr-BE"/>
              </w:rPr>
            </w:pPr>
            <w:r w:rsidRPr="007805CF">
              <w:rPr>
                <w:rFonts w:ascii="Calibri" w:hAnsi="Calibri" w:cs="Arial"/>
                <w:bCs/>
                <w:lang w:val="fr-BE"/>
              </w:rPr>
              <w:lastRenderedPageBreak/>
              <w:t>Capacité à comprendre et volonté de signer un consentement éclairé écrit</w:t>
            </w:r>
          </w:p>
          <w:p w14:paraId="352D6165" w14:textId="4DA1EBE9" w:rsidR="00157532" w:rsidRPr="007805CF" w:rsidRDefault="00157532" w:rsidP="003A6444">
            <w:pPr>
              <w:pStyle w:val="ListParagraph"/>
              <w:numPr>
                <w:ilvl w:val="0"/>
                <w:numId w:val="15"/>
              </w:numPr>
              <w:spacing w:after="0"/>
              <w:ind w:left="425" w:hanging="425"/>
              <w:jc w:val="both"/>
              <w:rPr>
                <w:rFonts w:ascii="Calibri" w:hAnsi="Calibri" w:cs="Arial"/>
                <w:bCs/>
                <w:lang w:val="fr-BE"/>
              </w:rPr>
            </w:pPr>
            <w:r w:rsidRPr="007805CF">
              <w:rPr>
                <w:rFonts w:ascii="Calibri" w:hAnsi="Calibri" w:cs="Arial"/>
                <w:bCs/>
                <w:lang w:val="fr-BE"/>
              </w:rPr>
              <w:t>Un consentement éclairé écrit daté et signé est disponible</w:t>
            </w:r>
          </w:p>
          <w:p w14:paraId="098AE68C" w14:textId="6C886F19" w:rsidR="00157532" w:rsidRPr="007805CF" w:rsidRDefault="00157532" w:rsidP="00157532">
            <w:pPr>
              <w:spacing w:after="0"/>
              <w:jc w:val="both"/>
              <w:rPr>
                <w:rFonts w:cs="Arial"/>
                <w:bCs/>
                <w:sz w:val="18"/>
                <w:szCs w:val="18"/>
                <w:lang w:val="fr-BE"/>
              </w:rPr>
            </w:pPr>
            <w:r w:rsidRPr="007805CF">
              <w:rPr>
                <w:rFonts w:cs="Arial"/>
                <w:bCs/>
                <w:sz w:val="18"/>
                <w:szCs w:val="18"/>
                <w:lang w:val="fr-BE"/>
              </w:rPr>
              <w:t>* Un traitement approprié en fonction de l'âge, administré dans l'intention de parvenir à une rémission hématologique complète et d'obtenir le meilleur résultat à long terme, selon la discrétion du médecin traitant, peut être considéré comme un traitement de chimiothérapie intense.</w:t>
            </w:r>
          </w:p>
          <w:p w14:paraId="583F88F5" w14:textId="30BB3EBC" w:rsidR="00157532" w:rsidRPr="007805CF" w:rsidRDefault="00157532" w:rsidP="00157532">
            <w:pPr>
              <w:spacing w:after="0"/>
              <w:jc w:val="both"/>
              <w:rPr>
                <w:rFonts w:cs="Arial"/>
                <w:bCs/>
                <w:sz w:val="18"/>
                <w:szCs w:val="18"/>
                <w:lang w:val="fr-BE"/>
              </w:rPr>
            </w:pPr>
            <w:r w:rsidRPr="007805CF">
              <w:rPr>
                <w:rFonts w:cs="Arial"/>
                <w:bCs/>
                <w:sz w:val="18"/>
                <w:szCs w:val="18"/>
                <w:lang w:val="fr-BE"/>
              </w:rPr>
              <w:t>** Le médecin tiendra compte du degré de récupération hématopoïétique de la dernière chimiothérapie et décidera si le niveau fonctionnel de la moelle osseuse est adéquat ou non pour l’utilisation du blinatumomab compte tenu des avantages, mais aussi des risques.</w:t>
            </w:r>
          </w:p>
          <w:p w14:paraId="277A0641" w14:textId="77777777" w:rsidR="0010677B" w:rsidRPr="007805CF" w:rsidRDefault="0010677B" w:rsidP="00960009">
            <w:pPr>
              <w:spacing w:after="0"/>
              <w:jc w:val="both"/>
              <w:rPr>
                <w:rFonts w:cs="Arial"/>
                <w:bCs/>
                <w:sz w:val="18"/>
                <w:szCs w:val="18"/>
                <w:lang w:val="fr-BE"/>
              </w:rPr>
            </w:pPr>
          </w:p>
          <w:p w14:paraId="0F4EA4C9" w14:textId="243DD00A" w:rsidR="0010677B" w:rsidRPr="007805CF" w:rsidRDefault="00486AEA" w:rsidP="00960009">
            <w:pPr>
              <w:spacing w:after="0"/>
              <w:jc w:val="both"/>
              <w:outlineLvl w:val="0"/>
              <w:rPr>
                <w:u w:val="single"/>
                <w:lang w:val="fr-BE"/>
              </w:rPr>
            </w:pPr>
            <w:r w:rsidRPr="007805CF">
              <w:rPr>
                <w:u w:val="single"/>
                <w:lang w:val="fr-BE"/>
              </w:rPr>
              <w:t>Critères d’exclusion</w:t>
            </w:r>
            <w:r w:rsidR="003A6444" w:rsidRPr="007805CF">
              <w:rPr>
                <w:u w:val="single"/>
                <w:lang w:val="fr-BE"/>
              </w:rPr>
              <w:t> </w:t>
            </w:r>
            <w:r w:rsidR="0010677B" w:rsidRPr="007805CF">
              <w:rPr>
                <w:lang w:val="fr-BE"/>
              </w:rPr>
              <w:t>:</w:t>
            </w:r>
          </w:p>
          <w:p w14:paraId="46F61836" w14:textId="204712DA" w:rsidR="00486AEA" w:rsidRPr="007805CF" w:rsidRDefault="00486AEA" w:rsidP="003A6444">
            <w:pPr>
              <w:pStyle w:val="ListParagraph"/>
              <w:numPr>
                <w:ilvl w:val="0"/>
                <w:numId w:val="29"/>
              </w:numPr>
              <w:spacing w:after="0"/>
              <w:ind w:left="425" w:hanging="425"/>
              <w:jc w:val="both"/>
              <w:rPr>
                <w:lang w:val="fr-BE"/>
              </w:rPr>
            </w:pPr>
            <w:r w:rsidRPr="007805CF">
              <w:rPr>
                <w:lang w:val="fr-BE"/>
              </w:rPr>
              <w:t>Présence de blastes en circulation ou atteinte extra-médullaire actuelle par la LAL</w:t>
            </w:r>
          </w:p>
          <w:p w14:paraId="6A0B9AB1" w14:textId="75EC4C1B" w:rsidR="00486AEA" w:rsidRPr="007805CF" w:rsidRDefault="00486AEA" w:rsidP="003A6444">
            <w:pPr>
              <w:pStyle w:val="ListParagraph"/>
              <w:numPr>
                <w:ilvl w:val="0"/>
                <w:numId w:val="29"/>
              </w:numPr>
              <w:spacing w:after="0"/>
              <w:ind w:left="425" w:hanging="425"/>
              <w:jc w:val="both"/>
              <w:rPr>
                <w:lang w:val="fr-BE"/>
              </w:rPr>
            </w:pPr>
            <w:r w:rsidRPr="007805CF">
              <w:rPr>
                <w:lang w:val="fr-BE"/>
              </w:rPr>
              <w:t>Historique de la pathologie pertinente du SNC ou de la pathologie actuelle pertinente du SNC</w:t>
            </w:r>
          </w:p>
          <w:p w14:paraId="5A3A78A7" w14:textId="3663199D" w:rsidR="00486AEA" w:rsidRPr="007805CF" w:rsidRDefault="00486AEA" w:rsidP="003A6444">
            <w:pPr>
              <w:pStyle w:val="ListParagraph"/>
              <w:numPr>
                <w:ilvl w:val="0"/>
                <w:numId w:val="29"/>
              </w:numPr>
              <w:spacing w:after="0"/>
              <w:ind w:left="425" w:hanging="425"/>
              <w:jc w:val="both"/>
              <w:rPr>
                <w:lang w:val="fr-BE"/>
              </w:rPr>
            </w:pPr>
            <w:r w:rsidRPr="007805CF">
              <w:rPr>
                <w:lang w:val="fr-BE"/>
              </w:rPr>
              <w:t>Infiltration actuelle de liquide céphalorachidien par la LAL</w:t>
            </w:r>
          </w:p>
          <w:p w14:paraId="10337E48" w14:textId="7D0890E9" w:rsidR="00486AEA" w:rsidRPr="007805CF" w:rsidRDefault="00486AEA" w:rsidP="003A6444">
            <w:pPr>
              <w:pStyle w:val="ListParagraph"/>
              <w:numPr>
                <w:ilvl w:val="0"/>
                <w:numId w:val="29"/>
              </w:numPr>
              <w:spacing w:after="0"/>
              <w:ind w:left="425" w:hanging="425"/>
              <w:jc w:val="both"/>
              <w:rPr>
                <w:lang w:val="fr-BE"/>
              </w:rPr>
            </w:pPr>
            <w:r w:rsidRPr="007805CF">
              <w:rPr>
                <w:lang w:val="fr-BE"/>
              </w:rPr>
              <w:t xml:space="preserve">Antécédents de maladie auto-immune pertinente ou </w:t>
            </w:r>
            <w:r w:rsidR="00C41B6F" w:rsidRPr="007805CF">
              <w:rPr>
                <w:lang w:val="fr-BE"/>
              </w:rPr>
              <w:t xml:space="preserve">maladie auto-immune pertinente </w:t>
            </w:r>
            <w:r w:rsidRPr="007805CF">
              <w:rPr>
                <w:lang w:val="fr-BE"/>
              </w:rPr>
              <w:t>active</w:t>
            </w:r>
          </w:p>
          <w:p w14:paraId="50E974CC" w14:textId="1E028E9B" w:rsidR="00486AEA" w:rsidRPr="007805CF" w:rsidRDefault="00486AEA" w:rsidP="003A6444">
            <w:pPr>
              <w:pStyle w:val="ListParagraph"/>
              <w:numPr>
                <w:ilvl w:val="0"/>
                <w:numId w:val="29"/>
              </w:numPr>
              <w:spacing w:after="0"/>
              <w:ind w:left="425" w:hanging="425"/>
              <w:jc w:val="both"/>
              <w:rPr>
                <w:lang w:val="fr-BE"/>
              </w:rPr>
            </w:pPr>
            <w:r w:rsidRPr="007805CF">
              <w:rPr>
                <w:lang w:val="fr-BE"/>
              </w:rPr>
              <w:t>Hypersensibilité connue aux immunoglobulines ou à la substance active ou à l’un des excipients</w:t>
            </w:r>
          </w:p>
          <w:p w14:paraId="63259983" w14:textId="7E994E41" w:rsidR="00486AEA" w:rsidRPr="007805CF" w:rsidRDefault="00486AEA" w:rsidP="003A6444">
            <w:pPr>
              <w:pStyle w:val="ListParagraph"/>
              <w:numPr>
                <w:ilvl w:val="0"/>
                <w:numId w:val="29"/>
              </w:numPr>
              <w:spacing w:after="0"/>
              <w:ind w:left="425" w:hanging="425"/>
              <w:jc w:val="both"/>
              <w:rPr>
                <w:lang w:val="fr-BE"/>
              </w:rPr>
            </w:pPr>
            <w:r w:rsidRPr="007805CF">
              <w:rPr>
                <w:lang w:val="fr-BE"/>
              </w:rPr>
              <w:t>Allaitement</w:t>
            </w:r>
          </w:p>
          <w:p w14:paraId="7407FEBB" w14:textId="3E6C71A9" w:rsidR="00486AEA" w:rsidRPr="00A52F6D" w:rsidRDefault="00486AEA" w:rsidP="003A6444">
            <w:pPr>
              <w:pStyle w:val="ListParagraph"/>
              <w:numPr>
                <w:ilvl w:val="0"/>
                <w:numId w:val="29"/>
              </w:numPr>
              <w:autoSpaceDE w:val="0"/>
              <w:autoSpaceDN w:val="0"/>
              <w:adjustRightInd w:val="0"/>
              <w:spacing w:after="0" w:line="240" w:lineRule="auto"/>
              <w:ind w:left="425" w:hanging="425"/>
              <w:rPr>
                <w:lang w:val="fr-BE"/>
              </w:rPr>
            </w:pPr>
            <w:r w:rsidRPr="007805CF">
              <w:rPr>
                <w:rFonts w:ascii="Calibri" w:hAnsi="Calibri" w:cs="Calibri"/>
                <w:lang w:val="fr-BE"/>
              </w:rPr>
              <w:t xml:space="preserve">Le patient est éligible pour une étude clinique en cours avec blinatumomab et/ou pour une étude clinique en cours dans la </w:t>
            </w:r>
            <w:r w:rsidR="003A6444" w:rsidRPr="007805CF">
              <w:rPr>
                <w:rFonts w:ascii="Calibri" w:hAnsi="Calibri" w:cs="Calibri"/>
                <w:lang w:val="fr-BE"/>
              </w:rPr>
              <w:t>même</w:t>
            </w:r>
            <w:r w:rsidRPr="007805CF">
              <w:rPr>
                <w:rFonts w:ascii="Calibri" w:hAnsi="Calibri" w:cs="Calibri"/>
                <w:lang w:val="fr-BE"/>
              </w:rPr>
              <w:t xml:space="preserve"> indication du programme</w:t>
            </w:r>
            <w:r w:rsidR="000C5B86">
              <w:rPr>
                <w:rFonts w:ascii="Calibri" w:hAnsi="Calibri" w:cs="Calibri"/>
                <w:lang w:val="fr-BE"/>
              </w:rPr>
              <w:t xml:space="preserve"> (</w:t>
            </w:r>
            <w:r w:rsidR="000C5B86">
              <w:rPr>
                <w:rFonts w:cs="Arial"/>
                <w:bCs/>
                <w:lang w:val="fr-BE"/>
              </w:rPr>
              <w:t>comme l’étude</w:t>
            </w:r>
            <w:r w:rsidR="000C5B86" w:rsidRPr="000C5B86">
              <w:rPr>
                <w:rFonts w:cs="Arial"/>
                <w:bCs/>
                <w:lang w:val="fr-BE"/>
              </w:rPr>
              <w:t xml:space="preserve"> </w:t>
            </w:r>
            <w:r w:rsidR="000C5B86" w:rsidRPr="000C5B86">
              <w:rPr>
                <w:lang w:val="fr-BE"/>
              </w:rPr>
              <w:t>GRAALL-2014 - EUDRACT: 2014-002146-44)</w:t>
            </w:r>
          </w:p>
          <w:p w14:paraId="384B7286" w14:textId="77777777" w:rsidR="0010677B" w:rsidRPr="007805CF" w:rsidRDefault="0010677B" w:rsidP="00960009">
            <w:pPr>
              <w:tabs>
                <w:tab w:val="left" w:pos="743"/>
              </w:tabs>
              <w:spacing w:after="0"/>
              <w:jc w:val="both"/>
              <w:rPr>
                <w:rFonts w:cs="Arial"/>
                <w:lang w:val="fr-BE"/>
              </w:rPr>
            </w:pPr>
          </w:p>
          <w:p w14:paraId="7282A0F1" w14:textId="13B0C2AE" w:rsidR="002725A1" w:rsidRPr="007805CF" w:rsidRDefault="002725A1" w:rsidP="00960009">
            <w:pPr>
              <w:autoSpaceDE w:val="0"/>
              <w:autoSpaceDN w:val="0"/>
              <w:adjustRightInd w:val="0"/>
              <w:spacing w:after="0"/>
              <w:rPr>
                <w:bCs/>
                <w:lang w:val="fr-BE"/>
              </w:rPr>
            </w:pPr>
            <w:r w:rsidRPr="007805CF">
              <w:rPr>
                <w:lang w:val="fr-BE"/>
              </w:rPr>
              <w:t xml:space="preserve">Le traitement par blinatumomab doit être soigneusement étudié sur la base d’une évaluation individuelle du rapport bénéfice/risque (par exemple, en tenant compte de l'âge, de la comorbidité, de la toxicité, de la fonction de la moelle osseuse, etc.). </w:t>
            </w:r>
          </w:p>
          <w:p w14:paraId="4ECBCCBC" w14:textId="77777777" w:rsidR="0010677B" w:rsidRPr="007805CF" w:rsidRDefault="0010677B" w:rsidP="00960009">
            <w:pPr>
              <w:spacing w:after="0"/>
              <w:jc w:val="both"/>
              <w:outlineLvl w:val="0"/>
              <w:rPr>
                <w:bCs/>
                <w:u w:val="single"/>
                <w:lang w:val="fr-BE"/>
              </w:rPr>
            </w:pPr>
          </w:p>
          <w:p w14:paraId="7B7A3AC9" w14:textId="40504496" w:rsidR="0010677B" w:rsidRPr="007805CF" w:rsidRDefault="00E776E5" w:rsidP="00960009">
            <w:pPr>
              <w:spacing w:after="0"/>
              <w:jc w:val="both"/>
              <w:outlineLvl w:val="0"/>
              <w:rPr>
                <w:u w:val="single"/>
                <w:lang w:val="fr-BE"/>
              </w:rPr>
            </w:pPr>
            <w:r w:rsidRPr="007805CF">
              <w:rPr>
                <w:bCs/>
                <w:u w:val="single"/>
                <w:lang w:val="fr-BE"/>
              </w:rPr>
              <w:t>Processus pour inclure les patients </w:t>
            </w:r>
            <w:r w:rsidR="0010677B" w:rsidRPr="007805CF">
              <w:rPr>
                <w:bCs/>
                <w:lang w:val="fr-BE"/>
              </w:rPr>
              <w:t>:</w:t>
            </w:r>
          </w:p>
          <w:p w14:paraId="1B2E1FD7" w14:textId="733347FA" w:rsidR="0010677B" w:rsidRPr="007805CF" w:rsidRDefault="00E776E5" w:rsidP="00960009">
            <w:pPr>
              <w:pStyle w:val="ListParagraph"/>
              <w:numPr>
                <w:ilvl w:val="0"/>
                <w:numId w:val="21"/>
              </w:numPr>
              <w:spacing w:after="0"/>
              <w:ind w:left="425" w:hanging="425"/>
              <w:jc w:val="both"/>
              <w:rPr>
                <w:rFonts w:cs="Arial"/>
                <w:bCs/>
                <w:lang w:val="fr-BE"/>
              </w:rPr>
            </w:pPr>
            <w:r w:rsidRPr="007805CF">
              <w:rPr>
                <w:rFonts w:cs="Arial"/>
                <w:bCs/>
                <w:lang w:val="fr-BE"/>
              </w:rPr>
              <w:t>ICF rempli et signé</w:t>
            </w:r>
          </w:p>
          <w:p w14:paraId="17DDDE65" w14:textId="77777777" w:rsidR="00E776E5" w:rsidRPr="007805CF" w:rsidRDefault="00E776E5" w:rsidP="00960009">
            <w:pPr>
              <w:pStyle w:val="ListParagraph"/>
              <w:numPr>
                <w:ilvl w:val="0"/>
                <w:numId w:val="21"/>
              </w:numPr>
              <w:spacing w:after="0"/>
              <w:ind w:left="425" w:hanging="425"/>
              <w:jc w:val="both"/>
              <w:rPr>
                <w:rFonts w:cs="Arial"/>
                <w:bCs/>
                <w:lang w:val="fr-BE"/>
              </w:rPr>
            </w:pPr>
            <w:r w:rsidRPr="007805CF">
              <w:rPr>
                <w:rFonts w:cs="Arial"/>
                <w:bCs/>
                <w:lang w:val="fr-BE"/>
              </w:rPr>
              <w:t>Demande écrite du médecin traitant</w:t>
            </w:r>
          </w:p>
          <w:p w14:paraId="340EAC01" w14:textId="47C823DA" w:rsidR="00E776E5" w:rsidRPr="007805CF" w:rsidRDefault="00E776E5" w:rsidP="00960009">
            <w:pPr>
              <w:pStyle w:val="ListParagraph"/>
              <w:numPr>
                <w:ilvl w:val="0"/>
                <w:numId w:val="21"/>
              </w:numPr>
              <w:spacing w:after="0"/>
              <w:ind w:left="425" w:hanging="425"/>
              <w:jc w:val="both"/>
              <w:rPr>
                <w:rFonts w:cs="Arial"/>
                <w:bCs/>
                <w:lang w:val="fr-BE"/>
              </w:rPr>
            </w:pPr>
            <w:r w:rsidRPr="007805CF">
              <w:rPr>
                <w:rFonts w:cs="Arial"/>
                <w:bCs/>
                <w:lang w:val="fr-BE"/>
              </w:rPr>
              <w:t>Conseil positif du médecin responsable</w:t>
            </w:r>
          </w:p>
          <w:p w14:paraId="04018FD5" w14:textId="602DF78D" w:rsidR="0010677B" w:rsidRPr="007805CF" w:rsidRDefault="00E776E5" w:rsidP="00960009">
            <w:pPr>
              <w:pStyle w:val="ListParagraph"/>
              <w:numPr>
                <w:ilvl w:val="0"/>
                <w:numId w:val="21"/>
              </w:numPr>
              <w:spacing w:after="0"/>
              <w:ind w:left="425" w:hanging="425"/>
              <w:jc w:val="both"/>
              <w:rPr>
                <w:rFonts w:cs="Arial"/>
                <w:bCs/>
                <w:lang w:val="fr-BE"/>
              </w:rPr>
            </w:pPr>
            <w:r w:rsidRPr="007805CF">
              <w:rPr>
                <w:rFonts w:cs="Arial"/>
                <w:bCs/>
                <w:lang w:val="fr-BE"/>
              </w:rPr>
              <w:t>Confirmation d'inscription par le responsable du programme</w:t>
            </w:r>
          </w:p>
          <w:p w14:paraId="5E7EBC34" w14:textId="77777777" w:rsidR="00E776E5" w:rsidRPr="007805CF" w:rsidRDefault="00E776E5" w:rsidP="00960009">
            <w:pPr>
              <w:spacing w:after="0"/>
              <w:jc w:val="both"/>
              <w:rPr>
                <w:rFonts w:cs="Arial"/>
                <w:lang w:val="fr-BE"/>
              </w:rPr>
            </w:pPr>
          </w:p>
          <w:p w14:paraId="178945E3" w14:textId="513ACEF8" w:rsidR="0010677B" w:rsidRPr="007805CF" w:rsidRDefault="002725A1" w:rsidP="00960009">
            <w:pPr>
              <w:spacing w:after="0"/>
              <w:jc w:val="both"/>
              <w:rPr>
                <w:rFonts w:cs="Arial"/>
                <w:lang w:val="fr-BE"/>
              </w:rPr>
            </w:pPr>
            <w:r w:rsidRPr="007805CF">
              <w:rPr>
                <w:rFonts w:cs="Arial"/>
                <w:lang w:val="fr-BE"/>
              </w:rPr>
              <w:t>Pris en compte l'urgence de la maladie, toutes les demandes seront traitées le plus rapidement possible, et au plus tard dans 1 semaine après la demande.</w:t>
            </w:r>
          </w:p>
          <w:p w14:paraId="5822D91B" w14:textId="77777777" w:rsidR="002725A1" w:rsidRPr="007805CF" w:rsidRDefault="002725A1" w:rsidP="00960009">
            <w:pPr>
              <w:spacing w:after="0"/>
              <w:jc w:val="both"/>
              <w:rPr>
                <w:rFonts w:cs="Arial"/>
                <w:lang w:val="fr-BE"/>
              </w:rPr>
            </w:pPr>
          </w:p>
          <w:p w14:paraId="49AF4AC9" w14:textId="363BFB27" w:rsidR="0010677B" w:rsidRPr="007805CF" w:rsidRDefault="00BF6900" w:rsidP="00960009">
            <w:pPr>
              <w:spacing w:after="0"/>
              <w:outlineLvl w:val="0"/>
              <w:rPr>
                <w:lang w:val="fr-BE"/>
              </w:rPr>
            </w:pPr>
            <w:r w:rsidRPr="007805CF">
              <w:rPr>
                <w:rFonts w:cs="Arial"/>
                <w:lang w:val="fr-BE"/>
              </w:rPr>
              <w:t>Le b</w:t>
            </w:r>
            <w:r w:rsidR="002725A1" w:rsidRPr="007805CF">
              <w:rPr>
                <w:rFonts w:cs="Arial"/>
                <w:lang w:val="fr-BE"/>
              </w:rPr>
              <w:t>linatumomab sera prévu pour 2 cycles de traitement. La demande d'un maximum de 2 cycles de traitement supplémentaires dépend du patient et sera déterminée par le médecin traitant.</w:t>
            </w:r>
          </w:p>
        </w:tc>
      </w:tr>
      <w:tr w:rsidR="00960009" w:rsidRPr="000C5B86" w14:paraId="7825AC70" w14:textId="77777777" w:rsidTr="00960009">
        <w:trPr>
          <w:trHeight w:val="851"/>
        </w:trPr>
        <w:tc>
          <w:tcPr>
            <w:tcW w:w="2836" w:type="dxa"/>
            <w:vAlign w:val="center"/>
          </w:tcPr>
          <w:p w14:paraId="557274DE" w14:textId="77777777" w:rsidR="00960009" w:rsidRPr="007805CF" w:rsidRDefault="00960009" w:rsidP="003A6444">
            <w:pPr>
              <w:spacing w:after="0" w:line="240" w:lineRule="auto"/>
              <w:outlineLvl w:val="0"/>
              <w:rPr>
                <w:lang w:val="fr-BE"/>
              </w:rPr>
            </w:pPr>
            <w:r w:rsidRPr="007805CF">
              <w:rPr>
                <w:lang w:val="fr-BE"/>
              </w:rPr>
              <w:lastRenderedPageBreak/>
              <w:t>Durée</w:t>
            </w:r>
          </w:p>
        </w:tc>
        <w:tc>
          <w:tcPr>
            <w:tcW w:w="7371" w:type="dxa"/>
            <w:shd w:val="clear" w:color="auto" w:fill="auto"/>
            <w:vAlign w:val="center"/>
          </w:tcPr>
          <w:p w14:paraId="5C9D9F2C" w14:textId="401DB433" w:rsidR="00960009" w:rsidRPr="007805CF" w:rsidRDefault="00BF6900" w:rsidP="003A6444">
            <w:pPr>
              <w:spacing w:after="0"/>
              <w:jc w:val="both"/>
              <w:rPr>
                <w:rFonts w:cs="Arial"/>
                <w:lang w:val="fr-BE"/>
              </w:rPr>
            </w:pPr>
            <w:r w:rsidRPr="007805CF">
              <w:rPr>
                <w:rFonts w:cs="Arial"/>
                <w:lang w:val="fr-BE"/>
              </w:rPr>
              <w:t>L</w:t>
            </w:r>
            <w:r w:rsidR="008D39A5" w:rsidRPr="007805CF">
              <w:rPr>
                <w:rFonts w:cs="Arial"/>
                <w:lang w:val="fr-BE"/>
              </w:rPr>
              <w:t xml:space="preserve">e programme débutera à la soumission de la proposition de cohorte à </w:t>
            </w:r>
            <w:r w:rsidR="00256708" w:rsidRPr="007805CF">
              <w:rPr>
                <w:rFonts w:cs="Arial"/>
                <w:lang w:val="fr-BE"/>
              </w:rPr>
              <w:t>l’</w:t>
            </w:r>
            <w:r w:rsidR="008D39A5" w:rsidRPr="007805CF">
              <w:rPr>
                <w:rFonts w:cs="Arial"/>
                <w:lang w:val="fr-BE"/>
              </w:rPr>
              <w:t>INAMI ou au plus tard le premier janvier 2016 et son exécution sera conforme aux exigences légales.</w:t>
            </w:r>
          </w:p>
          <w:p w14:paraId="285755A3" w14:textId="77777777" w:rsidR="008D39A5" w:rsidRPr="007805CF" w:rsidRDefault="008D39A5" w:rsidP="003A6444">
            <w:pPr>
              <w:spacing w:after="0"/>
              <w:jc w:val="both"/>
              <w:rPr>
                <w:rFonts w:cs="Arial"/>
                <w:highlight w:val="yellow"/>
                <w:lang w:val="fr-BE"/>
              </w:rPr>
            </w:pPr>
          </w:p>
          <w:p w14:paraId="0B948F6A" w14:textId="1ACDC25D" w:rsidR="00960009" w:rsidRPr="007805CF" w:rsidRDefault="008D39A5" w:rsidP="003A6444">
            <w:pPr>
              <w:spacing w:after="0"/>
              <w:jc w:val="both"/>
              <w:rPr>
                <w:rFonts w:cs="Arial"/>
                <w:lang w:val="fr-BE"/>
              </w:rPr>
            </w:pPr>
            <w:r w:rsidRPr="007805CF">
              <w:rPr>
                <w:rFonts w:cs="Arial"/>
                <w:lang w:val="fr-BE"/>
              </w:rPr>
              <w:t xml:space="preserve">Le blinatumomab sera fourni gratuitement par Amgen sur une base individuelle au patient selon les critères énoncés dans ce programme jusqu'à ce que, selon l'avis clinique du médecin traitant, le patient ne bénéficie plus du traitement. </w:t>
            </w:r>
            <w:r w:rsidR="00256708" w:rsidRPr="007805CF">
              <w:rPr>
                <w:rFonts w:cs="Arial"/>
                <w:lang w:val="fr-BE"/>
              </w:rPr>
              <w:t>Ou, jusqu'à ce que l'un des critères d'arrêt suivants pour terminer le programme soit rempli (selon la première éventualité)</w:t>
            </w:r>
            <w:r w:rsidR="00193AFE">
              <w:rPr>
                <w:rFonts w:cs="Arial"/>
                <w:lang w:val="fr-BE"/>
              </w:rPr>
              <w:t xml:space="preserve"> </w:t>
            </w:r>
            <w:r w:rsidR="00256708" w:rsidRPr="007805CF">
              <w:rPr>
                <w:rFonts w:cs="Arial"/>
                <w:lang w:val="fr-BE"/>
              </w:rPr>
              <w:t>:</w:t>
            </w:r>
          </w:p>
          <w:p w14:paraId="106E1CBA" w14:textId="0C1926AE" w:rsidR="00256708" w:rsidRPr="007805CF" w:rsidRDefault="00256708" w:rsidP="003A6444">
            <w:pPr>
              <w:pStyle w:val="ListParagraph"/>
              <w:numPr>
                <w:ilvl w:val="0"/>
                <w:numId w:val="23"/>
              </w:numPr>
              <w:spacing w:after="0"/>
              <w:ind w:left="425" w:hanging="425"/>
              <w:jc w:val="both"/>
              <w:rPr>
                <w:rFonts w:cs="Arial"/>
                <w:lang w:val="fr-BE"/>
              </w:rPr>
            </w:pPr>
            <w:r w:rsidRPr="007805CF">
              <w:rPr>
                <w:rFonts w:cs="Arial"/>
                <w:lang w:val="fr-BE"/>
              </w:rPr>
              <w:t>Le blinatumomab est remboursé dans l'indication MRD+ LAL en Belgique.</w:t>
            </w:r>
          </w:p>
          <w:p w14:paraId="6B50BEE5" w14:textId="362A22A9" w:rsidR="00256708" w:rsidRPr="007805CF" w:rsidRDefault="00256708" w:rsidP="003A6444">
            <w:pPr>
              <w:pStyle w:val="ListParagraph"/>
              <w:numPr>
                <w:ilvl w:val="0"/>
                <w:numId w:val="23"/>
              </w:numPr>
              <w:spacing w:after="0"/>
              <w:ind w:left="425" w:hanging="425"/>
              <w:jc w:val="both"/>
              <w:rPr>
                <w:rFonts w:cs="Arial"/>
                <w:lang w:val="fr-BE"/>
              </w:rPr>
            </w:pPr>
            <w:r w:rsidRPr="007805CF">
              <w:rPr>
                <w:rFonts w:cs="Arial"/>
                <w:lang w:val="fr-BE"/>
              </w:rPr>
              <w:t>L’EMA a finalement décidé que l’évaluation avantages / risques ne soutenait pas l’enregistrement du blinatumomab dans cette indication.</w:t>
            </w:r>
          </w:p>
          <w:p w14:paraId="13B8414B" w14:textId="48F72134" w:rsidR="00256708" w:rsidRPr="007805CF" w:rsidRDefault="00256708" w:rsidP="003A6444">
            <w:pPr>
              <w:pStyle w:val="ListParagraph"/>
              <w:numPr>
                <w:ilvl w:val="0"/>
                <w:numId w:val="23"/>
              </w:numPr>
              <w:spacing w:after="0"/>
              <w:ind w:left="425" w:hanging="425"/>
              <w:jc w:val="both"/>
              <w:rPr>
                <w:rFonts w:cs="Arial"/>
                <w:lang w:val="fr-BE"/>
              </w:rPr>
            </w:pPr>
            <w:r w:rsidRPr="007805CF">
              <w:rPr>
                <w:rFonts w:cs="Arial"/>
                <w:lang w:val="fr-BE"/>
              </w:rPr>
              <w:t>Amgen décide de retirer le dossier d'enregistrement à la suite d'un profil bénéfice / risque défavorable du blinatumomab dans le traitement du MRD+ LAL.</w:t>
            </w:r>
          </w:p>
          <w:p w14:paraId="1EAD9584" w14:textId="0E75ECA2" w:rsidR="00256708" w:rsidRPr="007805CF" w:rsidRDefault="00256708" w:rsidP="003A6444">
            <w:pPr>
              <w:pStyle w:val="ListParagraph"/>
              <w:numPr>
                <w:ilvl w:val="0"/>
                <w:numId w:val="23"/>
              </w:numPr>
              <w:spacing w:after="0"/>
              <w:ind w:left="425" w:hanging="425"/>
              <w:jc w:val="both"/>
              <w:rPr>
                <w:rFonts w:cs="Arial"/>
                <w:lang w:val="fr-BE"/>
              </w:rPr>
            </w:pPr>
            <w:r w:rsidRPr="007805CF">
              <w:rPr>
                <w:rFonts w:cs="Arial"/>
                <w:lang w:val="fr-BE"/>
              </w:rPr>
              <w:t>Amgen décide d'arrêter le développement du blinatumomab dans cette indication.</w:t>
            </w:r>
          </w:p>
          <w:p w14:paraId="0CA5F6E3" w14:textId="3287CFCA" w:rsidR="00256708" w:rsidRPr="007805CF" w:rsidRDefault="00256708" w:rsidP="003A6444">
            <w:pPr>
              <w:spacing w:after="0"/>
              <w:jc w:val="both"/>
              <w:rPr>
                <w:rFonts w:cs="Arial"/>
                <w:lang w:val="fr-BE"/>
              </w:rPr>
            </w:pPr>
            <w:r w:rsidRPr="007805CF">
              <w:rPr>
                <w:rFonts w:cs="Arial"/>
                <w:lang w:val="fr-BE"/>
              </w:rPr>
              <w:t>Ou au plus tard jusqu'à la fin de 20</w:t>
            </w:r>
            <w:r w:rsidR="0005261A">
              <w:rPr>
                <w:rFonts w:cs="Arial"/>
                <w:lang w:val="fr-BE"/>
              </w:rPr>
              <w:t>20</w:t>
            </w:r>
            <w:r w:rsidRPr="007805CF">
              <w:rPr>
                <w:rFonts w:cs="Arial"/>
                <w:lang w:val="fr-BE"/>
              </w:rPr>
              <w:t>.</w:t>
            </w:r>
          </w:p>
          <w:p w14:paraId="6FC54ACA" w14:textId="77777777" w:rsidR="00960009" w:rsidRPr="007805CF" w:rsidRDefault="00960009" w:rsidP="003A6444">
            <w:pPr>
              <w:spacing w:after="0"/>
              <w:jc w:val="both"/>
              <w:rPr>
                <w:rFonts w:cs="Arial"/>
                <w:highlight w:val="yellow"/>
                <w:lang w:val="fr-BE"/>
              </w:rPr>
            </w:pPr>
          </w:p>
          <w:p w14:paraId="22FA51ED" w14:textId="2447D673" w:rsidR="00960009" w:rsidRPr="007805CF" w:rsidRDefault="00256708" w:rsidP="003A6444">
            <w:pPr>
              <w:spacing w:after="0"/>
              <w:outlineLvl w:val="0"/>
              <w:rPr>
                <w:lang w:val="fr-BE"/>
              </w:rPr>
            </w:pPr>
            <w:r w:rsidRPr="007805CF">
              <w:rPr>
                <w:rFonts w:cs="Arial"/>
                <w:lang w:val="fr-BE"/>
              </w:rPr>
              <w:t>Le programme sera revu régulièrement par Amgen, qui a le droit d'arrêter le programme à tout moment. Les patients déjà inclus dans le programme seront pris en charge jusqu'à la fin de leur traitement.</w:t>
            </w:r>
          </w:p>
        </w:tc>
      </w:tr>
      <w:tr w:rsidR="00960009" w:rsidRPr="000C5B86" w14:paraId="7AF50FA1" w14:textId="77777777" w:rsidTr="00960009">
        <w:trPr>
          <w:trHeight w:val="851"/>
        </w:trPr>
        <w:tc>
          <w:tcPr>
            <w:tcW w:w="2836" w:type="dxa"/>
            <w:vAlign w:val="center"/>
          </w:tcPr>
          <w:p w14:paraId="58553F7E" w14:textId="77777777" w:rsidR="00960009" w:rsidRPr="007805CF" w:rsidRDefault="00960009" w:rsidP="00960009">
            <w:pPr>
              <w:keepNext/>
              <w:keepLines/>
              <w:spacing w:after="0" w:line="240" w:lineRule="auto"/>
              <w:outlineLvl w:val="0"/>
              <w:rPr>
                <w:lang w:val="fr-BE"/>
              </w:rPr>
            </w:pPr>
            <w:r w:rsidRPr="007805CF">
              <w:rPr>
                <w:lang w:val="fr-BE"/>
              </w:rPr>
              <w:t>Conditions de distribution</w:t>
            </w:r>
          </w:p>
        </w:tc>
        <w:tc>
          <w:tcPr>
            <w:tcW w:w="7371" w:type="dxa"/>
            <w:shd w:val="clear" w:color="auto" w:fill="auto"/>
            <w:vAlign w:val="center"/>
          </w:tcPr>
          <w:p w14:paraId="5971B9E3" w14:textId="3DEDDC24" w:rsidR="00960009" w:rsidRPr="007805CF" w:rsidRDefault="00960009" w:rsidP="00960009">
            <w:pPr>
              <w:keepNext/>
              <w:keepLines/>
              <w:spacing w:after="0"/>
              <w:outlineLvl w:val="0"/>
              <w:rPr>
                <w:lang w:val="fr-BE"/>
              </w:rPr>
            </w:pPr>
            <w:r w:rsidRPr="007805CF">
              <w:rPr>
                <w:lang w:val="fr-BE"/>
              </w:rPr>
              <w:t>Le blinatumomab sera demandé par le médecin traitant. Si l'avis du médecin responsable est positif, le responsable du programme met le médicament à la disposition du médecin traitant. Après approbation de la demande, une confirmation écrite sera envoyée au médecin traitant et le blinatumomab sera envoyé à la pharmacie de l'hôpital. Le traitement doit être instauré sous la supervision du médecin traitant.</w:t>
            </w:r>
          </w:p>
        </w:tc>
      </w:tr>
      <w:tr w:rsidR="0010677B" w:rsidRPr="00F20226" w14:paraId="23BD1210" w14:textId="77777777" w:rsidTr="009A25FC">
        <w:trPr>
          <w:trHeight w:val="851"/>
        </w:trPr>
        <w:tc>
          <w:tcPr>
            <w:tcW w:w="2836" w:type="dxa"/>
            <w:vAlign w:val="center"/>
          </w:tcPr>
          <w:p w14:paraId="26658F59" w14:textId="77777777" w:rsidR="0010677B" w:rsidRPr="007805CF" w:rsidRDefault="0010677B" w:rsidP="002D740B">
            <w:pPr>
              <w:spacing w:after="0" w:line="240" w:lineRule="auto"/>
              <w:outlineLvl w:val="0"/>
              <w:rPr>
                <w:lang w:val="fr-BE"/>
              </w:rPr>
            </w:pPr>
            <w:r w:rsidRPr="007805CF">
              <w:rPr>
                <w:lang w:val="fr-BE"/>
              </w:rPr>
              <w:t xml:space="preserve">Responsable </w:t>
            </w:r>
          </w:p>
        </w:tc>
        <w:tc>
          <w:tcPr>
            <w:tcW w:w="7371" w:type="dxa"/>
            <w:vAlign w:val="center"/>
          </w:tcPr>
          <w:p w14:paraId="120C9A46" w14:textId="5AAB76F2" w:rsidR="006D713D" w:rsidRPr="007805CF" w:rsidRDefault="006D713D" w:rsidP="002D740B">
            <w:pPr>
              <w:spacing w:after="0"/>
              <w:rPr>
                <w:u w:val="single"/>
                <w:lang w:val="fr-BE"/>
              </w:rPr>
            </w:pPr>
            <w:r w:rsidRPr="007805CF">
              <w:rPr>
                <w:u w:val="single"/>
                <w:lang w:val="fr-BE"/>
              </w:rPr>
              <w:t>Responsable du programme :</w:t>
            </w:r>
          </w:p>
          <w:p w14:paraId="3A02E9D5" w14:textId="641EF0E6" w:rsidR="00527AC4" w:rsidRPr="007805CF" w:rsidRDefault="00527AC4" w:rsidP="002D740B">
            <w:pPr>
              <w:spacing w:after="0"/>
              <w:rPr>
                <w:lang w:val="fr-BE"/>
              </w:rPr>
            </w:pPr>
            <w:r w:rsidRPr="007805CF">
              <w:rPr>
                <w:lang w:val="fr-BE"/>
              </w:rPr>
              <w:t>Amgen n.v.</w:t>
            </w:r>
          </w:p>
          <w:p w14:paraId="1CD15F35" w14:textId="77777777" w:rsidR="00527AC4" w:rsidRPr="00C41B6F" w:rsidRDefault="00527AC4" w:rsidP="002D740B">
            <w:pPr>
              <w:spacing w:after="0"/>
              <w:jc w:val="both"/>
              <w:rPr>
                <w:lang w:val="nl-BE"/>
              </w:rPr>
            </w:pPr>
            <w:r w:rsidRPr="00C41B6F">
              <w:rPr>
                <w:lang w:val="nl-BE"/>
              </w:rPr>
              <w:t>Telecomlaan 5-7</w:t>
            </w:r>
          </w:p>
          <w:p w14:paraId="273E2B07" w14:textId="77777777" w:rsidR="00527AC4" w:rsidRPr="00C41B6F" w:rsidRDefault="00527AC4" w:rsidP="002D740B">
            <w:pPr>
              <w:spacing w:after="0"/>
              <w:rPr>
                <w:lang w:val="nl-BE"/>
              </w:rPr>
            </w:pPr>
            <w:r w:rsidRPr="00C41B6F">
              <w:rPr>
                <w:lang w:val="nl-BE"/>
              </w:rPr>
              <w:t xml:space="preserve">1831 Diegem </w:t>
            </w:r>
          </w:p>
          <w:p w14:paraId="17057CEB" w14:textId="77777777" w:rsidR="00527AC4" w:rsidRPr="00C41B6F" w:rsidRDefault="00527AC4" w:rsidP="002D740B">
            <w:pPr>
              <w:spacing w:after="0"/>
              <w:jc w:val="both"/>
              <w:outlineLvl w:val="0"/>
              <w:rPr>
                <w:lang w:val="nl-BE"/>
              </w:rPr>
            </w:pPr>
            <w:r w:rsidRPr="00C41B6F">
              <w:rPr>
                <w:lang w:val="nl-BE"/>
              </w:rPr>
              <w:t>+32 2 775 27 11</w:t>
            </w:r>
          </w:p>
          <w:p w14:paraId="489600E3" w14:textId="77777777" w:rsidR="00527AC4" w:rsidRPr="00C41B6F" w:rsidRDefault="00527AC4" w:rsidP="002D740B">
            <w:pPr>
              <w:spacing w:after="0"/>
              <w:jc w:val="both"/>
              <w:outlineLvl w:val="0"/>
              <w:rPr>
                <w:sz w:val="16"/>
                <w:szCs w:val="16"/>
                <w:lang w:val="nl-BE"/>
              </w:rPr>
            </w:pPr>
          </w:p>
          <w:p w14:paraId="3DACE32D" w14:textId="43E398CE" w:rsidR="00527AC4" w:rsidRPr="00C41B6F" w:rsidRDefault="006D713D" w:rsidP="002D740B">
            <w:pPr>
              <w:spacing w:after="0"/>
              <w:jc w:val="both"/>
              <w:outlineLvl w:val="0"/>
              <w:rPr>
                <w:u w:val="single"/>
                <w:lang w:val="nl-BE"/>
              </w:rPr>
            </w:pPr>
            <w:r w:rsidRPr="00C41B6F">
              <w:rPr>
                <w:u w:val="single"/>
                <w:lang w:val="nl-BE"/>
              </w:rPr>
              <w:t>Médecin responsable </w:t>
            </w:r>
            <w:r w:rsidR="00527AC4" w:rsidRPr="00C41B6F">
              <w:rPr>
                <w:lang w:val="nl-BE"/>
              </w:rPr>
              <w:t>:</w:t>
            </w:r>
          </w:p>
          <w:p w14:paraId="2C93FF9A" w14:textId="77777777" w:rsidR="00527AC4" w:rsidRPr="00C41B6F" w:rsidRDefault="00527AC4" w:rsidP="002D740B">
            <w:pPr>
              <w:spacing w:after="0"/>
              <w:jc w:val="both"/>
              <w:outlineLvl w:val="0"/>
              <w:rPr>
                <w:lang w:val="nl-BE"/>
              </w:rPr>
            </w:pPr>
            <w:r w:rsidRPr="00C41B6F">
              <w:rPr>
                <w:lang w:val="nl-BE"/>
              </w:rPr>
              <w:t>Dr Jo Van der Veken</w:t>
            </w:r>
          </w:p>
          <w:p w14:paraId="44C19102" w14:textId="77777777" w:rsidR="00527AC4" w:rsidRPr="007805CF" w:rsidRDefault="00527AC4" w:rsidP="002D740B">
            <w:pPr>
              <w:spacing w:after="0"/>
              <w:jc w:val="both"/>
              <w:outlineLvl w:val="0"/>
              <w:rPr>
                <w:lang w:val="fr-BE"/>
              </w:rPr>
            </w:pPr>
            <w:r w:rsidRPr="007805CF">
              <w:rPr>
                <w:lang w:val="fr-BE"/>
              </w:rPr>
              <w:t>Telecomlaan 5-7</w:t>
            </w:r>
          </w:p>
          <w:p w14:paraId="50E4E04D" w14:textId="77777777" w:rsidR="00527AC4" w:rsidRPr="007805CF" w:rsidRDefault="00527AC4" w:rsidP="002D740B">
            <w:pPr>
              <w:spacing w:after="0"/>
              <w:jc w:val="both"/>
              <w:outlineLvl w:val="0"/>
              <w:rPr>
                <w:lang w:val="fr-BE"/>
              </w:rPr>
            </w:pPr>
            <w:r w:rsidRPr="007805CF">
              <w:rPr>
                <w:lang w:val="fr-BE"/>
              </w:rPr>
              <w:t xml:space="preserve">1831 Diegem </w:t>
            </w:r>
          </w:p>
          <w:p w14:paraId="777DDD5C" w14:textId="77777777" w:rsidR="00527AC4" w:rsidRPr="007805CF" w:rsidRDefault="00527AC4" w:rsidP="002D740B">
            <w:pPr>
              <w:spacing w:after="0"/>
              <w:jc w:val="both"/>
              <w:outlineLvl w:val="0"/>
              <w:rPr>
                <w:sz w:val="16"/>
                <w:szCs w:val="16"/>
                <w:lang w:val="fr-BE"/>
              </w:rPr>
            </w:pPr>
          </w:p>
          <w:p w14:paraId="6C9E389B" w14:textId="6D3CBE8F" w:rsidR="006D713D" w:rsidRPr="007805CF" w:rsidRDefault="006D713D" w:rsidP="002D740B">
            <w:pPr>
              <w:spacing w:after="0"/>
              <w:jc w:val="both"/>
              <w:outlineLvl w:val="0"/>
              <w:rPr>
                <w:u w:val="single"/>
                <w:lang w:val="fr-BE"/>
              </w:rPr>
            </w:pPr>
            <w:r w:rsidRPr="007805CF">
              <w:rPr>
                <w:u w:val="single"/>
                <w:lang w:val="fr-BE"/>
              </w:rPr>
              <w:t>Point de contact pour ce programme :</w:t>
            </w:r>
          </w:p>
          <w:p w14:paraId="0D1EE7FB" w14:textId="53BF4A9D" w:rsidR="00527AC4" w:rsidRPr="00C41B6F" w:rsidRDefault="00527AC4" w:rsidP="002D740B">
            <w:pPr>
              <w:spacing w:after="0"/>
              <w:jc w:val="both"/>
              <w:outlineLvl w:val="0"/>
              <w:rPr>
                <w:lang w:val="nl-BE"/>
              </w:rPr>
            </w:pPr>
            <w:r w:rsidRPr="00C41B6F">
              <w:rPr>
                <w:lang w:val="nl-BE"/>
              </w:rPr>
              <w:t>Dr Anke Van den broeck</w:t>
            </w:r>
          </w:p>
          <w:p w14:paraId="75B643AC" w14:textId="77777777" w:rsidR="00527AC4" w:rsidRPr="00C41B6F" w:rsidRDefault="00527AC4" w:rsidP="002D740B">
            <w:pPr>
              <w:spacing w:after="0"/>
              <w:jc w:val="both"/>
              <w:outlineLvl w:val="0"/>
              <w:rPr>
                <w:lang w:val="nl-BE"/>
              </w:rPr>
            </w:pPr>
            <w:r w:rsidRPr="00C41B6F">
              <w:rPr>
                <w:lang w:val="nl-BE"/>
              </w:rPr>
              <w:t>Telecomlaan 5-7</w:t>
            </w:r>
          </w:p>
          <w:p w14:paraId="6C4F263A" w14:textId="77777777" w:rsidR="00527AC4" w:rsidRPr="007805CF" w:rsidRDefault="00527AC4" w:rsidP="002D740B">
            <w:pPr>
              <w:spacing w:after="0"/>
              <w:jc w:val="both"/>
              <w:outlineLvl w:val="0"/>
              <w:rPr>
                <w:lang w:val="fr-BE"/>
              </w:rPr>
            </w:pPr>
            <w:r w:rsidRPr="007805CF">
              <w:rPr>
                <w:lang w:val="fr-BE"/>
              </w:rPr>
              <w:t>1831 Diegem</w:t>
            </w:r>
          </w:p>
          <w:p w14:paraId="337A6BF1" w14:textId="77777777" w:rsidR="00527AC4" w:rsidRPr="007805CF" w:rsidRDefault="00527AC4" w:rsidP="002D740B">
            <w:pPr>
              <w:spacing w:after="0"/>
              <w:jc w:val="both"/>
              <w:outlineLvl w:val="0"/>
              <w:rPr>
                <w:lang w:val="fr-BE"/>
              </w:rPr>
            </w:pPr>
            <w:r w:rsidRPr="007805CF">
              <w:rPr>
                <w:lang w:val="fr-BE"/>
              </w:rPr>
              <w:t>Tel: +32 2 775 27 81</w:t>
            </w:r>
          </w:p>
          <w:p w14:paraId="2139068D" w14:textId="7A8BD38A" w:rsidR="0010677B" w:rsidRPr="007805CF" w:rsidRDefault="00527AC4" w:rsidP="002D740B">
            <w:pPr>
              <w:spacing w:after="0"/>
              <w:outlineLvl w:val="0"/>
              <w:rPr>
                <w:lang w:val="fr-BE"/>
              </w:rPr>
            </w:pPr>
            <w:r w:rsidRPr="007805CF">
              <w:rPr>
                <w:lang w:val="fr-BE"/>
              </w:rPr>
              <w:lastRenderedPageBreak/>
              <w:t>Email: anke.van.den.broeck@amgen.com</w:t>
            </w:r>
          </w:p>
        </w:tc>
      </w:tr>
      <w:tr w:rsidR="00527AC4" w:rsidRPr="000C5B86" w14:paraId="749F5AA9" w14:textId="77777777" w:rsidTr="009A25FC">
        <w:trPr>
          <w:trHeight w:val="851"/>
        </w:trPr>
        <w:tc>
          <w:tcPr>
            <w:tcW w:w="2836" w:type="dxa"/>
            <w:vAlign w:val="center"/>
          </w:tcPr>
          <w:p w14:paraId="276AA430" w14:textId="77777777" w:rsidR="00527AC4" w:rsidRPr="007805CF" w:rsidRDefault="00527AC4" w:rsidP="00527AC4">
            <w:pPr>
              <w:keepNext/>
              <w:keepLines/>
              <w:spacing w:after="0" w:line="240" w:lineRule="auto"/>
              <w:outlineLvl w:val="0"/>
              <w:rPr>
                <w:lang w:val="fr-BE"/>
              </w:rPr>
            </w:pPr>
            <w:r w:rsidRPr="007805CF">
              <w:rPr>
                <w:lang w:val="fr-BE"/>
              </w:rPr>
              <w:lastRenderedPageBreak/>
              <w:t>Modalités selon lesquelles les médicaments non-utilisés sont traités</w:t>
            </w:r>
          </w:p>
        </w:tc>
        <w:tc>
          <w:tcPr>
            <w:tcW w:w="7371" w:type="dxa"/>
            <w:vAlign w:val="center"/>
          </w:tcPr>
          <w:p w14:paraId="41299E01" w14:textId="522D2E3A" w:rsidR="00527AC4" w:rsidRPr="007805CF" w:rsidRDefault="006D713D" w:rsidP="006D713D">
            <w:pPr>
              <w:keepNext/>
              <w:keepLines/>
              <w:spacing w:after="0"/>
              <w:outlineLvl w:val="0"/>
              <w:rPr>
                <w:lang w:val="fr-BE"/>
              </w:rPr>
            </w:pPr>
            <w:r w:rsidRPr="007805CF">
              <w:rPr>
                <w:rFonts w:cs="Arial"/>
                <w:lang w:val="fr-BE"/>
              </w:rPr>
              <w:t xml:space="preserve">Tout médicament inutilisé doit être retourné à Amgen ou détruit dans un établissement approprié dès que possible après que le patient ait cessé d’être inclus dans le programme </w:t>
            </w:r>
            <w:r w:rsidRPr="007805CF">
              <w:rPr>
                <w:lang w:val="fr-BE"/>
              </w:rPr>
              <w:t>d’usage compassionnel</w:t>
            </w:r>
            <w:r w:rsidRPr="007805CF">
              <w:rPr>
                <w:rFonts w:cs="Arial"/>
                <w:lang w:val="fr-BE"/>
              </w:rPr>
              <w:t xml:space="preserve">. Le médicament délivré pour une demande individuelle d’un patient dans le cadre du programme </w:t>
            </w:r>
            <w:r w:rsidRPr="007805CF">
              <w:rPr>
                <w:lang w:val="fr-BE"/>
              </w:rPr>
              <w:t xml:space="preserve">d’usage compassionnel </w:t>
            </w:r>
            <w:r w:rsidRPr="007805CF">
              <w:rPr>
                <w:rFonts w:cs="Arial"/>
                <w:lang w:val="fr-BE"/>
              </w:rPr>
              <w:t>ne peut être utilisé que pour ce patient.</w:t>
            </w:r>
            <w:r w:rsidRPr="007805CF">
              <w:rPr>
                <w:rFonts w:cs="Arial"/>
                <w:highlight w:val="yellow"/>
                <w:lang w:val="fr-BE"/>
              </w:rPr>
              <w:t xml:space="preserve"> </w:t>
            </w:r>
          </w:p>
        </w:tc>
      </w:tr>
      <w:tr w:rsidR="006D713D" w:rsidRPr="000C5B86" w14:paraId="3C541C53" w14:textId="77777777" w:rsidTr="009A25FC">
        <w:trPr>
          <w:trHeight w:val="851"/>
        </w:trPr>
        <w:tc>
          <w:tcPr>
            <w:tcW w:w="2836" w:type="dxa"/>
            <w:vAlign w:val="center"/>
          </w:tcPr>
          <w:p w14:paraId="2065FE7B" w14:textId="77777777" w:rsidR="006D713D" w:rsidRPr="007805CF" w:rsidRDefault="006D713D" w:rsidP="006D713D">
            <w:pPr>
              <w:autoSpaceDE w:val="0"/>
              <w:autoSpaceDN w:val="0"/>
              <w:adjustRightInd w:val="0"/>
              <w:spacing w:after="0" w:line="240" w:lineRule="auto"/>
              <w:rPr>
                <w:lang w:val="fr-BE"/>
              </w:rPr>
            </w:pPr>
            <w:r w:rsidRPr="007805CF">
              <w:rPr>
                <w:lang w:val="fr-BE"/>
              </w:rPr>
              <w:t>Données pour l’enregistrement des suspicions d’effets</w:t>
            </w:r>
          </w:p>
          <w:p w14:paraId="03E07C8B" w14:textId="6097E417" w:rsidR="006D713D" w:rsidRPr="00196688" w:rsidRDefault="006D713D" w:rsidP="006D713D">
            <w:pPr>
              <w:keepNext/>
              <w:keepLines/>
              <w:spacing w:after="0" w:line="240" w:lineRule="auto"/>
              <w:outlineLvl w:val="0"/>
              <w:rPr>
                <w:rFonts w:ascii="Verdana" w:eastAsia="Times New Roman" w:hAnsi="Verdana"/>
                <w:b/>
                <w:bCs/>
                <w:sz w:val="20"/>
                <w:szCs w:val="20"/>
                <w:lang w:val="fr-BE"/>
              </w:rPr>
            </w:pPr>
            <w:r w:rsidRPr="007805CF">
              <w:rPr>
                <w:lang w:val="fr-BE"/>
              </w:rPr>
              <w:t>indésirables graves</w:t>
            </w:r>
            <w:r w:rsidR="00196688">
              <w:rPr>
                <w:lang w:val="fr-BE"/>
              </w:rPr>
              <w:t xml:space="preserve"> </w:t>
            </w:r>
            <w:r w:rsidR="00196688" w:rsidRPr="00196688">
              <w:rPr>
                <w:lang w:val="fr-BE"/>
              </w:rPr>
              <w:t>inattendus</w:t>
            </w:r>
          </w:p>
        </w:tc>
        <w:tc>
          <w:tcPr>
            <w:tcW w:w="7371" w:type="dxa"/>
            <w:vAlign w:val="center"/>
          </w:tcPr>
          <w:p w14:paraId="04D8BFF0" w14:textId="60FE2BBC" w:rsidR="006D713D" w:rsidRPr="007805CF" w:rsidRDefault="006F335C" w:rsidP="006D713D">
            <w:pPr>
              <w:spacing w:after="0"/>
              <w:jc w:val="both"/>
              <w:rPr>
                <w:rFonts w:cs="Arial"/>
                <w:highlight w:val="yellow"/>
                <w:lang w:val="fr-BE"/>
              </w:rPr>
            </w:pPr>
            <w:r w:rsidRPr="007805CF">
              <w:rPr>
                <w:rFonts w:cs="Arial"/>
                <w:lang w:val="fr-BE"/>
              </w:rPr>
              <w:t>Les médecins sont priés de signaler tout événement indésirable (non grave ou grave) et toute autre</w:t>
            </w:r>
            <w:r w:rsidR="00A23FE3" w:rsidRPr="007805CF">
              <w:rPr>
                <w:rFonts w:cs="Arial"/>
                <w:lang w:val="fr-BE"/>
              </w:rPr>
              <w:t xml:space="preserve">s données </w:t>
            </w:r>
            <w:r w:rsidRPr="007805CF">
              <w:rPr>
                <w:rFonts w:cs="Arial"/>
                <w:lang w:val="fr-BE"/>
              </w:rPr>
              <w:t>de sécurité en envoyant un formulaire de rapport de sécurité rempli, signé</w:t>
            </w:r>
            <w:r w:rsidR="00D3754D" w:rsidRPr="007805CF">
              <w:rPr>
                <w:rFonts w:cs="Arial"/>
                <w:lang w:val="fr-BE"/>
              </w:rPr>
              <w:t xml:space="preserve"> et daté à Amgen - </w:t>
            </w:r>
            <w:r w:rsidR="00196688" w:rsidRPr="00196688">
              <w:rPr>
                <w:rFonts w:cs="Arial"/>
                <w:lang w:val="fr-BE"/>
              </w:rPr>
              <w:t xml:space="preserve">Service de Pharmacovigilance </w:t>
            </w:r>
            <w:r w:rsidR="00196688">
              <w:rPr>
                <w:rFonts w:cs="Arial"/>
                <w:lang w:val="fr-BE"/>
              </w:rPr>
              <w:t>B</w:t>
            </w:r>
            <w:r w:rsidR="00D3754D" w:rsidRPr="007805CF">
              <w:rPr>
                <w:rFonts w:cs="Arial"/>
                <w:lang w:val="fr-BE"/>
              </w:rPr>
              <w:t xml:space="preserve">elge </w:t>
            </w:r>
            <w:r w:rsidRPr="007805CF">
              <w:rPr>
                <w:rFonts w:cs="Arial"/>
                <w:lang w:val="fr-BE"/>
              </w:rPr>
              <w:t>(numéro de fax</w:t>
            </w:r>
            <w:r w:rsidR="00D3754D" w:rsidRPr="007805CF">
              <w:rPr>
                <w:rFonts w:cs="Arial"/>
                <w:lang w:val="fr-BE"/>
              </w:rPr>
              <w:t> </w:t>
            </w:r>
            <w:r w:rsidRPr="007805CF">
              <w:rPr>
                <w:rFonts w:cs="Arial"/>
                <w:lang w:val="fr-BE"/>
              </w:rPr>
              <w:t>: 0800 80 877) dans un délai d</w:t>
            </w:r>
            <w:r w:rsidR="00D3754D" w:rsidRPr="007805CF">
              <w:rPr>
                <w:rFonts w:cs="Arial"/>
                <w:lang w:val="fr-BE"/>
              </w:rPr>
              <w:t>'un jour ouvrable</w:t>
            </w:r>
            <w:r w:rsidRPr="007805CF">
              <w:rPr>
                <w:rFonts w:cs="Arial"/>
                <w:lang w:val="fr-BE"/>
              </w:rPr>
              <w:t xml:space="preserve"> OU envoyer un formulaire de rapport de sécurité rempli, signé et daté </w:t>
            </w:r>
            <w:r w:rsidR="00D3754D" w:rsidRPr="007805CF">
              <w:rPr>
                <w:rFonts w:cs="Arial"/>
                <w:lang w:val="fr-BE"/>
              </w:rPr>
              <w:t>par e-mail à</w:t>
            </w:r>
            <w:r w:rsidRPr="007805CF">
              <w:rPr>
                <w:rFonts w:cs="Arial"/>
                <w:lang w:val="fr-BE"/>
              </w:rPr>
              <w:t xml:space="preserve"> </w:t>
            </w:r>
            <w:hyperlink r:id="rId13" w:history="1">
              <w:r w:rsidR="00D3754D" w:rsidRPr="007805CF">
                <w:rPr>
                  <w:rStyle w:val="Hyperlink"/>
                  <w:rFonts w:cs="Arial"/>
                  <w:lang w:val="fr-BE"/>
                </w:rPr>
                <w:t>svc-ags-in-be@amgen.com</w:t>
              </w:r>
            </w:hyperlink>
            <w:r w:rsidR="00D3754D" w:rsidRPr="007805CF">
              <w:rPr>
                <w:rFonts w:cs="Arial"/>
                <w:lang w:val="fr-BE"/>
              </w:rPr>
              <w:t xml:space="preserve"> </w:t>
            </w:r>
            <w:r w:rsidRPr="007805CF">
              <w:rPr>
                <w:rFonts w:cs="Arial"/>
                <w:lang w:val="fr-BE"/>
              </w:rPr>
              <w:t>dans un délai d’un jour ouvrable. Le médecin peut être invité à fournir des informations de suivi sur l'événement rapporté.</w:t>
            </w:r>
          </w:p>
          <w:p w14:paraId="0A47FB9C" w14:textId="77777777" w:rsidR="006D713D" w:rsidRPr="007805CF" w:rsidRDefault="006D713D" w:rsidP="006D713D">
            <w:pPr>
              <w:spacing w:after="0"/>
              <w:jc w:val="both"/>
              <w:rPr>
                <w:rFonts w:cs="Arial"/>
                <w:highlight w:val="yellow"/>
                <w:lang w:val="fr-BE"/>
              </w:rPr>
            </w:pPr>
          </w:p>
          <w:p w14:paraId="4E0A19B3" w14:textId="63C710E8" w:rsidR="006D713D" w:rsidRPr="007805CF" w:rsidRDefault="00BC5C09" w:rsidP="006D713D">
            <w:pPr>
              <w:spacing w:after="0"/>
              <w:jc w:val="both"/>
              <w:rPr>
                <w:rFonts w:cs="Arial"/>
                <w:lang w:val="fr-BE"/>
              </w:rPr>
            </w:pPr>
            <w:r w:rsidRPr="007805CF">
              <w:rPr>
                <w:rFonts w:cs="Arial"/>
                <w:lang w:val="fr-BE"/>
              </w:rPr>
              <w:t>En cas d'événement indésirable, le médecin traitant décidera si le traitement par blinatumomab doit être poursuivi et des actions à prendre.</w:t>
            </w:r>
          </w:p>
          <w:p w14:paraId="66E08F63" w14:textId="77777777" w:rsidR="00BC5C09" w:rsidRPr="007805CF" w:rsidRDefault="00BC5C09" w:rsidP="006D713D">
            <w:pPr>
              <w:spacing w:after="0"/>
              <w:jc w:val="both"/>
              <w:rPr>
                <w:rFonts w:cs="Arial"/>
                <w:lang w:val="fr-BE"/>
              </w:rPr>
            </w:pPr>
          </w:p>
          <w:p w14:paraId="7D49C91B" w14:textId="214C8DC7" w:rsidR="006D713D" w:rsidRPr="007805CF" w:rsidRDefault="006D713D" w:rsidP="006D713D">
            <w:pPr>
              <w:suppressLineNumbers/>
              <w:spacing w:after="0"/>
              <w:outlineLvl w:val="0"/>
              <w:rPr>
                <w:rFonts w:cs="Arial"/>
                <w:lang w:val="fr-BE"/>
              </w:rPr>
            </w:pPr>
            <w:r w:rsidRPr="007805CF">
              <w:rPr>
                <w:rFonts w:cs="Arial"/>
                <w:lang w:val="fr-BE"/>
              </w:rPr>
              <w:t>Les effets indésirables les plus graves qui peuvent survenir pendant le traitement par le blinatumomab sont : infections (24,8 %), événements neurologiques (13,8 %), neutropénie/neutropénie fébrile (10,1 %), syndrome de relargage de cytokines (3,3 %) et syndrome de lyse tumorale (0,7 %).</w:t>
            </w:r>
          </w:p>
          <w:p w14:paraId="12B50BCE" w14:textId="77777777" w:rsidR="006D713D" w:rsidRPr="007805CF" w:rsidRDefault="006D713D" w:rsidP="006D713D">
            <w:pPr>
              <w:suppressLineNumbers/>
              <w:spacing w:after="0"/>
              <w:outlineLvl w:val="0"/>
              <w:rPr>
                <w:rFonts w:cs="Arial"/>
                <w:lang w:val="fr-BE"/>
              </w:rPr>
            </w:pPr>
          </w:p>
          <w:p w14:paraId="56169B64" w14:textId="4692AACA" w:rsidR="006D713D" w:rsidRPr="007805CF" w:rsidRDefault="006D713D" w:rsidP="006D713D">
            <w:pPr>
              <w:keepNext/>
              <w:keepLines/>
              <w:spacing w:after="0"/>
              <w:outlineLvl w:val="0"/>
              <w:rPr>
                <w:rFonts w:ascii="Verdana" w:eastAsia="Times New Roman" w:hAnsi="Verdana"/>
                <w:bCs/>
                <w:sz w:val="20"/>
                <w:szCs w:val="20"/>
                <w:lang w:val="fr-BE"/>
              </w:rPr>
            </w:pPr>
            <w:r w:rsidRPr="007805CF">
              <w:rPr>
                <w:rFonts w:cs="Arial"/>
                <w:lang w:val="fr-BE"/>
              </w:rPr>
              <w:t>Les effets indésirables les plus fréquents ont été : fièvre (69,2 %), réactions liées à la perfusion (43,4 %), infections à pathogène non précisé (42,1 %), céphalées (32,9 %), anémie (22,8 %), thrombopénie (20,9 %), neutropénie fébrile (20,2 %), œdème (20,0 %), neutropénie (19,7 %), rash (16,7 %), enzymes hépatiques augmentées (16,1 %), infections bactériennes (15,4 %), tremblements (15,2 %), toux (15,1 %), leucopénie (13,4 %), douleurs dorsales (13,3 %), frissons (13,0 %), hypotension (12,8 %), infections virales (12,7 %), immunoglobulines diminuées (12,5 %), syndrome de relargage de cytokines (11,6 %), tachycardie (11,3 %), insomnie (10,7 %), infections fongiques (10,6 %) et douleurs dans les extrémités (10,2 %).</w:t>
            </w:r>
          </w:p>
        </w:tc>
      </w:tr>
    </w:tbl>
    <w:p w14:paraId="112696C5" w14:textId="31C07E81" w:rsidR="005170EF" w:rsidRPr="006D713D" w:rsidRDefault="005170EF" w:rsidP="00316445">
      <w:pPr>
        <w:spacing w:after="0"/>
        <w:rPr>
          <w:lang w:val="fr-B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371"/>
      </w:tblGrid>
      <w:tr w:rsidR="00035898" w:rsidRPr="00821640" w14:paraId="51B384C0" w14:textId="77777777" w:rsidTr="009A25FC">
        <w:trPr>
          <w:trHeight w:val="411"/>
        </w:trPr>
        <w:tc>
          <w:tcPr>
            <w:tcW w:w="2836" w:type="dxa"/>
            <w:vAlign w:val="center"/>
          </w:tcPr>
          <w:p w14:paraId="7442730E" w14:textId="77777777" w:rsidR="00035898" w:rsidRPr="007805CF" w:rsidRDefault="00035898" w:rsidP="00035898">
            <w:pPr>
              <w:keepNext/>
              <w:keepLines/>
              <w:pageBreakBefore/>
              <w:spacing w:after="0" w:line="240" w:lineRule="auto"/>
              <w:outlineLvl w:val="0"/>
              <w:rPr>
                <w:lang w:val="nl-BE"/>
              </w:rPr>
            </w:pPr>
            <w:r w:rsidRPr="007805CF">
              <w:rPr>
                <w:lang w:val="nl-BE"/>
              </w:rPr>
              <w:lastRenderedPageBreak/>
              <w:t>Naam geneesmiddel</w:t>
            </w:r>
          </w:p>
        </w:tc>
        <w:tc>
          <w:tcPr>
            <w:tcW w:w="7371" w:type="dxa"/>
            <w:vAlign w:val="center"/>
          </w:tcPr>
          <w:p w14:paraId="3444E28A" w14:textId="69E99648" w:rsidR="00035898" w:rsidRPr="007805CF" w:rsidRDefault="00035898" w:rsidP="0010677B">
            <w:pPr>
              <w:keepNext/>
              <w:keepLines/>
              <w:pageBreakBefore/>
              <w:spacing w:after="0"/>
              <w:outlineLvl w:val="0"/>
              <w:rPr>
                <w:lang w:val="nl-BE"/>
              </w:rPr>
            </w:pPr>
            <w:r w:rsidRPr="007805CF">
              <w:rPr>
                <w:lang w:val="nl-BE"/>
              </w:rPr>
              <w:t>BLINCYTO®</w:t>
            </w:r>
          </w:p>
        </w:tc>
      </w:tr>
      <w:tr w:rsidR="00035898" w:rsidRPr="00821640" w14:paraId="6B32BE75" w14:textId="77777777" w:rsidTr="004C3171">
        <w:trPr>
          <w:trHeight w:val="534"/>
        </w:trPr>
        <w:tc>
          <w:tcPr>
            <w:tcW w:w="2836" w:type="dxa"/>
            <w:vAlign w:val="center"/>
          </w:tcPr>
          <w:p w14:paraId="6EF89190" w14:textId="77777777" w:rsidR="00035898" w:rsidRPr="007805CF" w:rsidRDefault="00035898" w:rsidP="00035898">
            <w:pPr>
              <w:keepNext/>
              <w:keepLines/>
              <w:spacing w:after="0" w:line="240" w:lineRule="auto"/>
              <w:outlineLvl w:val="0"/>
              <w:rPr>
                <w:lang w:val="nl-BE"/>
              </w:rPr>
            </w:pPr>
            <w:r w:rsidRPr="007805CF">
              <w:rPr>
                <w:lang w:val="nl-BE"/>
              </w:rPr>
              <w:t>Naam actieve substantie</w:t>
            </w:r>
          </w:p>
        </w:tc>
        <w:tc>
          <w:tcPr>
            <w:tcW w:w="7371" w:type="dxa"/>
            <w:vAlign w:val="center"/>
          </w:tcPr>
          <w:p w14:paraId="50F53D05" w14:textId="413740B7" w:rsidR="00035898" w:rsidRPr="007805CF" w:rsidRDefault="00035898" w:rsidP="0010677B">
            <w:pPr>
              <w:keepNext/>
              <w:keepLines/>
              <w:spacing w:after="0"/>
              <w:outlineLvl w:val="0"/>
              <w:rPr>
                <w:lang w:val="nl-BE"/>
              </w:rPr>
            </w:pPr>
            <w:r w:rsidRPr="007805CF">
              <w:rPr>
                <w:lang w:val="nl-BE"/>
              </w:rPr>
              <w:t>blinatumomab</w:t>
            </w:r>
          </w:p>
        </w:tc>
      </w:tr>
      <w:tr w:rsidR="00035898" w:rsidRPr="000C5B86" w14:paraId="2E0A7D45" w14:textId="77777777" w:rsidTr="009A25FC">
        <w:trPr>
          <w:trHeight w:val="851"/>
        </w:trPr>
        <w:tc>
          <w:tcPr>
            <w:tcW w:w="2836" w:type="dxa"/>
            <w:vAlign w:val="center"/>
          </w:tcPr>
          <w:p w14:paraId="14C17FF3" w14:textId="77777777" w:rsidR="00035898" w:rsidRPr="007805CF" w:rsidRDefault="00035898" w:rsidP="00035898">
            <w:pPr>
              <w:keepNext/>
              <w:keepLines/>
              <w:spacing w:after="0" w:line="240" w:lineRule="auto"/>
              <w:outlineLvl w:val="0"/>
              <w:rPr>
                <w:lang w:val="nl-BE"/>
              </w:rPr>
            </w:pPr>
            <w:r w:rsidRPr="007805CF">
              <w:rPr>
                <w:lang w:val="nl-BE"/>
              </w:rPr>
              <w:t xml:space="preserve">Indicatie en gebruiksvoorwaarden </w:t>
            </w:r>
          </w:p>
        </w:tc>
        <w:tc>
          <w:tcPr>
            <w:tcW w:w="7371" w:type="dxa"/>
            <w:vAlign w:val="center"/>
          </w:tcPr>
          <w:p w14:paraId="158F6790" w14:textId="07AFD674" w:rsidR="00035898" w:rsidRPr="007805CF" w:rsidRDefault="00035898" w:rsidP="0010677B">
            <w:pPr>
              <w:spacing w:after="0"/>
              <w:jc w:val="both"/>
              <w:outlineLvl w:val="0"/>
              <w:rPr>
                <w:lang w:val="nl-BE"/>
              </w:rPr>
            </w:pPr>
            <w:r w:rsidRPr="007805CF">
              <w:rPr>
                <w:u w:val="single"/>
                <w:lang w:val="nl-BE"/>
              </w:rPr>
              <w:t>Indicatie</w:t>
            </w:r>
            <w:r w:rsidRPr="007805CF">
              <w:rPr>
                <w:lang w:val="nl-BE"/>
              </w:rPr>
              <w:t>: Behandeling van volwassenen met Philadelphia</w:t>
            </w:r>
            <w:r w:rsidRPr="007805CF">
              <w:rPr>
                <w:lang w:val="nl-BE"/>
              </w:rPr>
              <w:noBreakHyphen/>
              <w:t>chromosoom</w:t>
            </w:r>
            <w:r w:rsidRPr="007805CF">
              <w:rPr>
                <w:lang w:val="nl-BE"/>
              </w:rPr>
              <w:noBreakHyphen/>
              <w:t>negatieve, CD19</w:t>
            </w:r>
            <w:r w:rsidRPr="007805CF">
              <w:rPr>
                <w:lang w:val="nl-BE"/>
              </w:rPr>
              <w:noBreakHyphen/>
              <w:t>positieve precursor-B ALL, in eerste of tweede complete remissie, met minimale restziekte (MRD) groter dan of gelijk aan 0,1%.</w:t>
            </w:r>
          </w:p>
          <w:p w14:paraId="3984B0D7" w14:textId="77777777" w:rsidR="00035898" w:rsidRPr="007805CF" w:rsidRDefault="00035898" w:rsidP="0010677B">
            <w:pPr>
              <w:spacing w:after="0"/>
              <w:jc w:val="both"/>
              <w:outlineLvl w:val="0"/>
              <w:rPr>
                <w:lang w:val="nl-BE"/>
              </w:rPr>
            </w:pPr>
          </w:p>
          <w:p w14:paraId="4ABFF09A" w14:textId="0A97BFB7" w:rsidR="002F40A4" w:rsidRPr="007805CF" w:rsidRDefault="00035898" w:rsidP="0010677B">
            <w:pPr>
              <w:autoSpaceDE w:val="0"/>
              <w:autoSpaceDN w:val="0"/>
              <w:adjustRightInd w:val="0"/>
              <w:spacing w:after="0"/>
              <w:jc w:val="both"/>
              <w:rPr>
                <w:rFonts w:cs="Arial"/>
                <w:lang w:val="nl-BE"/>
              </w:rPr>
            </w:pPr>
            <w:r w:rsidRPr="007805CF">
              <w:rPr>
                <w:lang w:val="nl-BE"/>
              </w:rPr>
              <w:t>Gebruiksvoorwaarden: Blinatumomab</w:t>
            </w:r>
            <w:r w:rsidRPr="007805CF">
              <w:rPr>
                <w:rFonts w:cs="Arial"/>
                <w:lang w:val="nl-BE"/>
              </w:rPr>
              <w:t xml:space="preserve"> </w:t>
            </w:r>
            <w:r w:rsidRPr="007805CF">
              <w:rPr>
                <w:lang w:val="nl-BE"/>
              </w:rPr>
              <w:t>wordt met een infuuspomp als continue intraveneuze infusie met een constante infusiesnelheid toegediend gedurende maximaal 96 uur</w:t>
            </w:r>
            <w:r w:rsidRPr="007805CF">
              <w:rPr>
                <w:rFonts w:cs="Arial"/>
                <w:lang w:val="nl-BE"/>
              </w:rPr>
              <w:t xml:space="preserve">. </w:t>
            </w:r>
            <w:r w:rsidR="002F40A4" w:rsidRPr="007805CF">
              <w:rPr>
                <w:lang w:val="nl-BE"/>
              </w:rPr>
              <w:t>Patiënten zullen ten minste 1 behandelingscyclus krijgen. Eén afzonderlijke behandelingscyclus bestaat uit een continue infusie gedurende 4 weken. Tussen opeenvolgende behandelingscycli is er een behandelingsvrij interval van 2 weken.</w:t>
            </w:r>
            <w:r w:rsidR="008669C4" w:rsidRPr="007805CF">
              <w:rPr>
                <w:lang w:val="nl-BE"/>
              </w:rPr>
              <w:t xml:space="preserve"> </w:t>
            </w:r>
            <w:r w:rsidR="002F40A4" w:rsidRPr="007805CF">
              <w:rPr>
                <w:rFonts w:cs="Arial"/>
                <w:lang w:val="nl-BE"/>
              </w:rPr>
              <w:t xml:space="preserve">Patiënten die geen </w:t>
            </w:r>
            <w:r w:rsidR="002F40A4" w:rsidRPr="007805CF">
              <w:rPr>
                <w:lang w:val="nl-BE"/>
              </w:rPr>
              <w:t>hematopoëtische stamceltransplantatie (HSCT) ondergaan, mogen maximaal 4 behandelingscycli met BLINCYTO krijgen. Indien patiënten geschikt zijn voor allogene HSCT</w:t>
            </w:r>
            <w:r w:rsidR="008669C4" w:rsidRPr="007805CF">
              <w:rPr>
                <w:lang w:val="nl-BE"/>
              </w:rPr>
              <w:t xml:space="preserve"> na behandeling met ten minste 1 behandelingscyclus met BLINCYTO, kunnen ze allogene HSCT ondergaan in plaats van verdere cycli met blinatumomab te krijgen.</w:t>
            </w:r>
          </w:p>
          <w:p w14:paraId="1A934E52" w14:textId="77777777" w:rsidR="00035898" w:rsidRPr="007805CF" w:rsidRDefault="00035898" w:rsidP="0010677B">
            <w:pPr>
              <w:autoSpaceDE w:val="0"/>
              <w:autoSpaceDN w:val="0"/>
              <w:adjustRightInd w:val="0"/>
              <w:spacing w:after="0"/>
              <w:jc w:val="both"/>
              <w:rPr>
                <w:rFonts w:cs="Arial"/>
                <w:lang w:val="nl-BE"/>
              </w:rPr>
            </w:pPr>
          </w:p>
          <w:p w14:paraId="5E56410D" w14:textId="55173CC6" w:rsidR="00035898" w:rsidRPr="007805CF" w:rsidRDefault="008669C4" w:rsidP="0010677B">
            <w:pPr>
              <w:keepNext/>
              <w:keepLines/>
              <w:spacing w:after="0"/>
              <w:outlineLvl w:val="0"/>
              <w:rPr>
                <w:lang w:val="nl-BE"/>
              </w:rPr>
            </w:pPr>
            <w:r w:rsidRPr="007805CF">
              <w:rPr>
                <w:rFonts w:cs="Arial"/>
                <w:lang w:val="nl-BE"/>
              </w:rPr>
              <w:t xml:space="preserve">De </w:t>
            </w:r>
            <w:r w:rsidRPr="007805CF">
              <w:rPr>
                <w:lang w:val="nl-BE"/>
              </w:rPr>
              <w:t>aanbevolen dosering van blinatumomab is 2</w:t>
            </w:r>
            <w:r w:rsidR="00035898" w:rsidRPr="007805CF">
              <w:rPr>
                <w:rFonts w:cs="Arial"/>
                <w:lang w:val="nl-BE"/>
              </w:rPr>
              <w:t>8 µ</w:t>
            </w:r>
            <w:r w:rsidRPr="007805CF">
              <w:rPr>
                <w:rFonts w:cs="Arial"/>
                <w:lang w:val="nl-BE"/>
              </w:rPr>
              <w:t xml:space="preserve">g/dag voor alle </w:t>
            </w:r>
            <w:r w:rsidRPr="007805CF">
              <w:rPr>
                <w:lang w:val="nl-BE"/>
              </w:rPr>
              <w:t>behandelingscycli</w:t>
            </w:r>
            <w:r w:rsidR="00035898" w:rsidRPr="007805CF">
              <w:rPr>
                <w:rFonts w:cs="Arial"/>
                <w:lang w:val="nl-BE"/>
              </w:rPr>
              <w:t>.</w:t>
            </w:r>
          </w:p>
        </w:tc>
      </w:tr>
      <w:tr w:rsidR="008669C4" w:rsidRPr="000C5B86" w14:paraId="308AAF4F" w14:textId="77777777" w:rsidTr="000E50B5">
        <w:trPr>
          <w:trHeight w:val="851"/>
        </w:trPr>
        <w:tc>
          <w:tcPr>
            <w:tcW w:w="2836" w:type="dxa"/>
            <w:vAlign w:val="center"/>
          </w:tcPr>
          <w:p w14:paraId="637488F8" w14:textId="77777777" w:rsidR="008669C4" w:rsidRPr="007805CF" w:rsidRDefault="008669C4" w:rsidP="008669C4">
            <w:pPr>
              <w:autoSpaceDE w:val="0"/>
              <w:autoSpaceDN w:val="0"/>
              <w:adjustRightInd w:val="0"/>
              <w:spacing w:after="0" w:line="240" w:lineRule="auto"/>
              <w:rPr>
                <w:lang w:val="nl-BE"/>
              </w:rPr>
            </w:pPr>
            <w:r w:rsidRPr="007805CF">
              <w:rPr>
                <w:lang w:val="nl-BE"/>
              </w:rPr>
              <w:t>Voorwaarden, termijnen en nadere regelen waaronder patiënten</w:t>
            </w:r>
          </w:p>
          <w:p w14:paraId="08B7882F" w14:textId="77777777" w:rsidR="008669C4" w:rsidRPr="007805CF" w:rsidRDefault="008669C4" w:rsidP="008669C4">
            <w:pPr>
              <w:keepNext/>
              <w:keepLines/>
              <w:spacing w:after="0" w:line="240" w:lineRule="auto"/>
              <w:outlineLvl w:val="0"/>
              <w:rPr>
                <w:lang w:val="nl-BE"/>
              </w:rPr>
            </w:pPr>
            <w:r w:rsidRPr="007805CF">
              <w:rPr>
                <w:lang w:val="nl-BE"/>
              </w:rPr>
              <w:t xml:space="preserve">worden toegelaten </w:t>
            </w:r>
          </w:p>
        </w:tc>
        <w:tc>
          <w:tcPr>
            <w:tcW w:w="7371" w:type="dxa"/>
            <w:shd w:val="clear" w:color="auto" w:fill="auto"/>
            <w:vAlign w:val="center"/>
          </w:tcPr>
          <w:p w14:paraId="58FFA3CE" w14:textId="35A94688" w:rsidR="008669C4" w:rsidRPr="007805CF" w:rsidRDefault="00727F9F" w:rsidP="0010677B">
            <w:pPr>
              <w:spacing w:after="0"/>
              <w:jc w:val="both"/>
              <w:outlineLvl w:val="0"/>
              <w:rPr>
                <w:u w:val="single"/>
                <w:lang w:val="nl-BE"/>
              </w:rPr>
            </w:pPr>
            <w:r w:rsidRPr="007805CF">
              <w:rPr>
                <w:u w:val="single"/>
                <w:lang w:val="nl-BE"/>
              </w:rPr>
              <w:t>Inclusie</w:t>
            </w:r>
            <w:r w:rsidR="008669C4" w:rsidRPr="007805CF">
              <w:rPr>
                <w:u w:val="single"/>
                <w:lang w:val="nl-BE"/>
              </w:rPr>
              <w:t>criteria</w:t>
            </w:r>
            <w:r w:rsidR="008669C4" w:rsidRPr="007805CF">
              <w:rPr>
                <w:lang w:val="nl-BE"/>
              </w:rPr>
              <w:t>:</w:t>
            </w:r>
          </w:p>
          <w:p w14:paraId="623BECAD" w14:textId="7CAE6CE0" w:rsidR="008669C4" w:rsidRPr="007805CF" w:rsidRDefault="00727F9F" w:rsidP="000E50B5">
            <w:pPr>
              <w:pStyle w:val="ListParagraph"/>
              <w:numPr>
                <w:ilvl w:val="0"/>
                <w:numId w:val="19"/>
              </w:numPr>
              <w:spacing w:after="0"/>
              <w:ind w:left="425" w:hanging="425"/>
              <w:jc w:val="both"/>
              <w:rPr>
                <w:rFonts w:cs="Arial"/>
                <w:bCs/>
                <w:lang w:val="nl-BE"/>
              </w:rPr>
            </w:pPr>
            <w:r w:rsidRPr="007805CF">
              <w:rPr>
                <w:lang w:val="nl-BE"/>
              </w:rPr>
              <w:t>Patiënten met Philadelphia</w:t>
            </w:r>
            <w:r w:rsidRPr="007805CF">
              <w:rPr>
                <w:lang w:val="nl-BE"/>
              </w:rPr>
              <w:noBreakHyphen/>
              <w:t>chromosoom</w:t>
            </w:r>
            <w:r w:rsidRPr="007805CF">
              <w:rPr>
                <w:lang w:val="nl-BE"/>
              </w:rPr>
              <w:noBreakHyphen/>
              <w:t>negatieve, CD19</w:t>
            </w:r>
            <w:r w:rsidRPr="007805CF">
              <w:rPr>
                <w:lang w:val="nl-BE"/>
              </w:rPr>
              <w:noBreakHyphen/>
              <w:t>positieve precursor-B ALL, in eerste of tweede complete hematologische remissie</w:t>
            </w:r>
            <w:r w:rsidRPr="007805CF">
              <w:rPr>
                <w:rFonts w:cs="Arial"/>
                <w:bCs/>
                <w:lang w:val="nl-BE"/>
              </w:rPr>
              <w:t xml:space="preserve"> (</w:t>
            </w:r>
            <w:r w:rsidRPr="007805CF">
              <w:rPr>
                <w:lang w:val="nl-BE"/>
              </w:rPr>
              <w:t xml:space="preserve">gedefinieerd als &lt; 5% blasten in beenmerg, absoluut aantal neutrofielen ≥ 1000/microliter, bloedplaatjes ≥ 50.000/microliter, en hemoglobinegehalte ≥ 9 g/dl) na ten minste drie intense* chemotherapieblokken </w:t>
            </w:r>
            <w:r w:rsidR="008669C4" w:rsidRPr="007805CF">
              <w:rPr>
                <w:rFonts w:cs="Arial"/>
                <w:bCs/>
                <w:lang w:val="nl-BE"/>
              </w:rPr>
              <w:t>(</w:t>
            </w:r>
            <w:r w:rsidRPr="007805CF">
              <w:rPr>
                <w:rFonts w:cs="Arial"/>
                <w:bCs/>
                <w:lang w:val="nl-BE"/>
              </w:rPr>
              <w:t>bijv. GMALL inductie I</w:t>
            </w:r>
            <w:r w:rsidRPr="007805CF">
              <w:rPr>
                <w:rFonts w:cs="Arial"/>
                <w:bCs/>
                <w:lang w:val="nl-BE"/>
              </w:rPr>
              <w:noBreakHyphen/>
              <w:t>II/consolidatie I, inductie</w:t>
            </w:r>
            <w:r w:rsidR="008669C4" w:rsidRPr="007805CF">
              <w:rPr>
                <w:rFonts w:cs="Arial"/>
                <w:bCs/>
                <w:lang w:val="nl-BE"/>
              </w:rPr>
              <w:t>/intensificat</w:t>
            </w:r>
            <w:r w:rsidRPr="007805CF">
              <w:rPr>
                <w:rFonts w:cs="Arial"/>
                <w:bCs/>
                <w:lang w:val="nl-BE"/>
              </w:rPr>
              <w:t>ie/consolidatie of</w:t>
            </w:r>
            <w:r w:rsidR="008669C4" w:rsidRPr="007805CF">
              <w:rPr>
                <w:rFonts w:cs="Arial"/>
                <w:bCs/>
                <w:lang w:val="nl-BE"/>
              </w:rPr>
              <w:t xml:space="preserve"> </w:t>
            </w:r>
            <w:r w:rsidRPr="007805CF">
              <w:rPr>
                <w:rFonts w:cs="Arial"/>
                <w:bCs/>
                <w:lang w:val="nl-BE"/>
              </w:rPr>
              <w:t>drie</w:t>
            </w:r>
            <w:r w:rsidR="008669C4" w:rsidRPr="007805CF">
              <w:rPr>
                <w:rFonts w:cs="Arial"/>
                <w:bCs/>
                <w:lang w:val="nl-BE"/>
              </w:rPr>
              <w:t xml:space="preserve"> </w:t>
            </w:r>
            <w:r w:rsidRPr="007805CF">
              <w:rPr>
                <w:rFonts w:cs="Arial"/>
                <w:bCs/>
                <w:lang w:val="nl-BE"/>
              </w:rPr>
              <w:t>blokken met</w:t>
            </w:r>
            <w:r w:rsidR="008669C4" w:rsidRPr="007805CF">
              <w:rPr>
                <w:rFonts w:cs="Arial"/>
                <w:bCs/>
                <w:lang w:val="nl-BE"/>
              </w:rPr>
              <w:t xml:space="preserve"> Hyper CVAD)</w:t>
            </w:r>
          </w:p>
          <w:p w14:paraId="08A2A2AF" w14:textId="47621959" w:rsidR="00727F9F" w:rsidRPr="007805CF" w:rsidRDefault="00727F9F" w:rsidP="000E50B5">
            <w:pPr>
              <w:pStyle w:val="ListParagraph"/>
              <w:numPr>
                <w:ilvl w:val="0"/>
                <w:numId w:val="19"/>
              </w:numPr>
              <w:spacing w:after="0"/>
              <w:ind w:left="425" w:hanging="425"/>
              <w:jc w:val="both"/>
              <w:rPr>
                <w:rFonts w:cs="Arial"/>
                <w:bCs/>
                <w:lang w:val="nl-BE"/>
              </w:rPr>
            </w:pPr>
            <w:r w:rsidRPr="007805CF">
              <w:rPr>
                <w:rFonts w:cs="Arial"/>
                <w:bCs/>
                <w:lang w:val="nl-BE"/>
              </w:rPr>
              <w:t>Aanwezigheid van minimale restziekte (MRD) op een niveau van ≥ 0,1% gedocumenteerd na een interval van minstens 2 weken vanaf de laatste systemische chemotherapie door een gevalideerde methodologie en test met minimale gevoeligheid van 10</w:t>
            </w:r>
            <w:r w:rsidRPr="007805CF">
              <w:rPr>
                <w:rFonts w:cs="Arial"/>
                <w:bCs/>
                <w:vertAlign w:val="superscript"/>
                <w:lang w:val="nl-BE"/>
              </w:rPr>
              <w:t>-4</w:t>
            </w:r>
            <w:r w:rsidRPr="007805CF">
              <w:rPr>
                <w:rFonts w:cs="Arial"/>
                <w:bCs/>
                <w:lang w:val="nl-BE"/>
              </w:rPr>
              <w:t xml:space="preserve"> uitgevoerd in een gespecialiseerd behandelcentrum met </w:t>
            </w:r>
            <w:r w:rsidR="00C41B6F">
              <w:rPr>
                <w:rFonts w:cs="Arial"/>
                <w:bCs/>
                <w:lang w:val="nl-BE"/>
              </w:rPr>
              <w:t xml:space="preserve">toegang tot </w:t>
            </w:r>
            <w:r w:rsidR="00CA14D4" w:rsidRPr="007805CF">
              <w:rPr>
                <w:rFonts w:cs="Arial"/>
                <w:bCs/>
                <w:lang w:val="nl-BE"/>
              </w:rPr>
              <w:t xml:space="preserve">een </w:t>
            </w:r>
            <w:r w:rsidRPr="007805CF">
              <w:rPr>
                <w:rFonts w:cs="Arial"/>
                <w:bCs/>
                <w:lang w:val="nl-BE"/>
              </w:rPr>
              <w:t>laboratorium met expertise in MRD-</w:t>
            </w:r>
            <w:r w:rsidR="00C41B6F">
              <w:rPr>
                <w:rFonts w:cs="Arial"/>
                <w:bCs/>
                <w:lang w:val="nl-BE"/>
              </w:rPr>
              <w:t>testing</w:t>
            </w:r>
          </w:p>
          <w:p w14:paraId="2EE8E915" w14:textId="32CBBCB3" w:rsidR="008669C4" w:rsidRPr="007805CF" w:rsidRDefault="00CA14D4" w:rsidP="000E50B5">
            <w:pPr>
              <w:pStyle w:val="ListParagraph"/>
              <w:numPr>
                <w:ilvl w:val="0"/>
                <w:numId w:val="19"/>
              </w:numPr>
              <w:spacing w:after="0"/>
              <w:ind w:left="425" w:hanging="425"/>
              <w:jc w:val="both"/>
              <w:rPr>
                <w:rFonts w:ascii="Calibri" w:hAnsi="Calibri" w:cs="Arial"/>
                <w:bCs/>
                <w:lang w:val="nl-BE"/>
              </w:rPr>
            </w:pPr>
            <w:r w:rsidRPr="007805CF">
              <w:rPr>
                <w:rFonts w:cs="Arial"/>
                <w:bCs/>
                <w:lang w:val="nl-BE"/>
              </w:rPr>
              <w:t>Leeftijd</w:t>
            </w:r>
            <w:r w:rsidR="008669C4" w:rsidRPr="007805CF">
              <w:rPr>
                <w:rFonts w:cs="Arial"/>
                <w:bCs/>
                <w:lang w:val="nl-BE"/>
              </w:rPr>
              <w:t xml:space="preserve"> ≥ 18 </w:t>
            </w:r>
            <w:r w:rsidRPr="007805CF">
              <w:rPr>
                <w:rFonts w:cs="Arial"/>
                <w:bCs/>
                <w:lang w:val="nl-BE"/>
              </w:rPr>
              <w:t>jaar</w:t>
            </w:r>
            <w:r w:rsidR="008669C4" w:rsidRPr="007805CF">
              <w:rPr>
                <w:rFonts w:cs="Arial"/>
                <w:bCs/>
                <w:lang w:val="nl-BE"/>
              </w:rPr>
              <w:t xml:space="preserve"> </w:t>
            </w:r>
          </w:p>
          <w:p w14:paraId="384289DF" w14:textId="26727AEE" w:rsidR="008669C4" w:rsidRPr="007805CF" w:rsidRDefault="00C41B6F" w:rsidP="000E50B5">
            <w:pPr>
              <w:pStyle w:val="ListParagraph"/>
              <w:numPr>
                <w:ilvl w:val="0"/>
                <w:numId w:val="19"/>
              </w:numPr>
              <w:spacing w:after="0"/>
              <w:ind w:left="425" w:hanging="425"/>
              <w:jc w:val="both"/>
              <w:rPr>
                <w:rFonts w:ascii="Calibri" w:hAnsi="Calibri" w:cs="Arial"/>
                <w:bCs/>
                <w:lang w:val="nl-BE"/>
              </w:rPr>
            </w:pPr>
            <w:r>
              <w:rPr>
                <w:rFonts w:cs="Arial"/>
                <w:bCs/>
                <w:lang w:val="nl-BE"/>
              </w:rPr>
              <w:t>Adequate</w:t>
            </w:r>
            <w:r w:rsidR="00CA14D4" w:rsidRPr="007805CF">
              <w:rPr>
                <w:rFonts w:cs="Arial"/>
                <w:bCs/>
                <w:lang w:val="nl-BE"/>
              </w:rPr>
              <w:t xml:space="preserve"> beenmergfunctie</w:t>
            </w:r>
            <w:r w:rsidR="008669C4" w:rsidRPr="007805CF">
              <w:rPr>
                <w:rFonts w:cs="Arial"/>
                <w:bCs/>
                <w:lang w:val="nl-BE"/>
              </w:rPr>
              <w:t>**</w:t>
            </w:r>
          </w:p>
          <w:p w14:paraId="5FDD26E7" w14:textId="7B8313B6" w:rsidR="00CA14D4" w:rsidRPr="007805CF" w:rsidRDefault="00056CB0" w:rsidP="000E50B5">
            <w:pPr>
              <w:numPr>
                <w:ilvl w:val="0"/>
                <w:numId w:val="19"/>
              </w:numPr>
              <w:spacing w:after="0"/>
              <w:ind w:left="425" w:hanging="425"/>
              <w:jc w:val="both"/>
              <w:rPr>
                <w:rFonts w:ascii="Calibri" w:hAnsi="Calibri" w:cs="Arial"/>
                <w:bCs/>
                <w:lang w:val="nl-BE"/>
              </w:rPr>
            </w:pPr>
            <w:r w:rsidRPr="007805CF">
              <w:rPr>
                <w:rFonts w:ascii="Calibri" w:hAnsi="Calibri" w:cs="Arial"/>
                <w:bCs/>
                <w:lang w:val="nl-BE"/>
              </w:rPr>
              <w:t>De p</w:t>
            </w:r>
            <w:r w:rsidR="00CA14D4" w:rsidRPr="007805CF">
              <w:rPr>
                <w:rFonts w:ascii="Calibri" w:hAnsi="Calibri" w:cs="Arial"/>
                <w:bCs/>
                <w:lang w:val="nl-BE"/>
              </w:rPr>
              <w:t>atiënt k</w:t>
            </w:r>
            <w:r w:rsidRPr="007805CF">
              <w:rPr>
                <w:rFonts w:ascii="Calibri" w:hAnsi="Calibri" w:cs="Arial"/>
                <w:bCs/>
                <w:lang w:val="nl-BE"/>
              </w:rPr>
              <w:t>an</w:t>
            </w:r>
            <w:r w:rsidR="00CA14D4" w:rsidRPr="007805CF">
              <w:rPr>
                <w:rFonts w:ascii="Calibri" w:hAnsi="Calibri" w:cs="Arial"/>
                <w:bCs/>
                <w:lang w:val="nl-BE"/>
              </w:rPr>
              <w:t xml:space="preserve"> niet op </w:t>
            </w:r>
            <w:r w:rsidR="00C41B6F">
              <w:rPr>
                <w:rFonts w:ascii="Calibri" w:hAnsi="Calibri" w:cs="Arial"/>
                <w:bCs/>
                <w:lang w:val="nl-BE"/>
              </w:rPr>
              <w:t>bevredigende</w:t>
            </w:r>
            <w:r w:rsidR="00CA14D4" w:rsidRPr="007805CF">
              <w:rPr>
                <w:rFonts w:ascii="Calibri" w:hAnsi="Calibri" w:cs="Arial"/>
                <w:bCs/>
                <w:lang w:val="nl-BE"/>
              </w:rPr>
              <w:t xml:space="preserve"> wijze worden behandeld met de goedgekeurde en in de handel verkrijgbare alternatieve behandelingen, in overeenstemming met klinische richtlijnen, omwille van doeltreffendheid- en/of veiligheidsredenen.</w:t>
            </w:r>
          </w:p>
          <w:p w14:paraId="4DF2D0D4" w14:textId="1C688A02" w:rsidR="00056CB0" w:rsidRPr="007805CF" w:rsidRDefault="00056CB0" w:rsidP="000E50B5">
            <w:pPr>
              <w:pStyle w:val="ListParagraph"/>
              <w:numPr>
                <w:ilvl w:val="0"/>
                <w:numId w:val="19"/>
              </w:numPr>
              <w:spacing w:after="0"/>
              <w:ind w:left="425" w:hanging="425"/>
              <w:jc w:val="both"/>
              <w:rPr>
                <w:rFonts w:cs="Arial"/>
                <w:bCs/>
                <w:lang w:val="nl-BE"/>
              </w:rPr>
            </w:pPr>
            <w:r w:rsidRPr="007805CF">
              <w:rPr>
                <w:rFonts w:cs="Arial"/>
                <w:bCs/>
                <w:lang w:val="nl-BE"/>
              </w:rPr>
              <w:t xml:space="preserve">Vermogen om </w:t>
            </w:r>
            <w:r w:rsidR="00F17064" w:rsidRPr="007805CF">
              <w:rPr>
                <w:rFonts w:cs="Arial"/>
                <w:bCs/>
                <w:lang w:val="nl-BE"/>
              </w:rPr>
              <w:t xml:space="preserve">een schriftelijke toestemming </w:t>
            </w:r>
            <w:r w:rsidRPr="007805CF">
              <w:rPr>
                <w:rFonts w:cs="Arial"/>
                <w:bCs/>
                <w:lang w:val="nl-BE"/>
              </w:rPr>
              <w:t xml:space="preserve">te begrijpen </w:t>
            </w:r>
            <w:r w:rsidR="00F17064" w:rsidRPr="007805CF">
              <w:rPr>
                <w:rFonts w:cs="Arial"/>
                <w:bCs/>
                <w:lang w:val="nl-BE"/>
              </w:rPr>
              <w:t>en te ondertekenen</w:t>
            </w:r>
          </w:p>
          <w:p w14:paraId="5AD9EA51" w14:textId="4E3FCD66" w:rsidR="00056CB0" w:rsidRPr="007805CF" w:rsidRDefault="00056CB0" w:rsidP="000E50B5">
            <w:pPr>
              <w:pStyle w:val="ListParagraph"/>
              <w:numPr>
                <w:ilvl w:val="0"/>
                <w:numId w:val="19"/>
              </w:numPr>
              <w:spacing w:after="0"/>
              <w:ind w:left="425" w:hanging="425"/>
              <w:jc w:val="both"/>
              <w:rPr>
                <w:rFonts w:cs="Arial"/>
                <w:bCs/>
                <w:lang w:val="nl-BE"/>
              </w:rPr>
            </w:pPr>
            <w:r w:rsidRPr="007805CF">
              <w:rPr>
                <w:rFonts w:cs="Arial"/>
                <w:bCs/>
                <w:lang w:val="nl-BE"/>
              </w:rPr>
              <w:lastRenderedPageBreak/>
              <w:t>Getekende en gedateerde schriftelijke toestemming is beschikbaar</w:t>
            </w:r>
          </w:p>
          <w:p w14:paraId="1BCF9CF3" w14:textId="63C92369" w:rsidR="00F17064" w:rsidRPr="007805CF" w:rsidRDefault="00F17064" w:rsidP="00F17064">
            <w:pPr>
              <w:spacing w:after="0"/>
              <w:jc w:val="both"/>
              <w:rPr>
                <w:rFonts w:cs="Arial"/>
                <w:bCs/>
                <w:sz w:val="18"/>
                <w:szCs w:val="18"/>
                <w:lang w:val="nl-BE"/>
              </w:rPr>
            </w:pPr>
            <w:r w:rsidRPr="007805CF">
              <w:rPr>
                <w:rFonts w:cs="Arial"/>
                <w:bCs/>
                <w:sz w:val="18"/>
                <w:szCs w:val="18"/>
                <w:lang w:val="nl-BE"/>
              </w:rPr>
              <w:t xml:space="preserve">* </w:t>
            </w:r>
            <w:r w:rsidR="00C41B6F">
              <w:rPr>
                <w:rFonts w:cs="Arial"/>
                <w:bCs/>
                <w:sz w:val="18"/>
                <w:szCs w:val="18"/>
                <w:lang w:val="nl-BE"/>
              </w:rPr>
              <w:t>Gegeven b</w:t>
            </w:r>
            <w:r w:rsidRPr="007805CF">
              <w:rPr>
                <w:rFonts w:cs="Arial"/>
                <w:bCs/>
                <w:sz w:val="18"/>
                <w:szCs w:val="18"/>
                <w:lang w:val="nl-BE"/>
              </w:rPr>
              <w:t xml:space="preserve">ehandeling </w:t>
            </w:r>
            <w:r w:rsidR="00C41B6F">
              <w:rPr>
                <w:rFonts w:cs="Arial"/>
                <w:bCs/>
                <w:sz w:val="18"/>
                <w:szCs w:val="18"/>
                <w:lang w:val="nl-BE"/>
              </w:rPr>
              <w:t xml:space="preserve">aangepast aan de leeftijd </w:t>
            </w:r>
            <w:r w:rsidRPr="007805CF">
              <w:rPr>
                <w:rFonts w:cs="Arial"/>
                <w:bCs/>
                <w:sz w:val="18"/>
                <w:szCs w:val="18"/>
                <w:lang w:val="nl-BE"/>
              </w:rPr>
              <w:t xml:space="preserve">met de bedoeling om een volledige hematologische remissie te bereiken en </w:t>
            </w:r>
            <w:r w:rsidR="000E50B5" w:rsidRPr="007805CF">
              <w:rPr>
                <w:rFonts w:cs="Arial"/>
                <w:bCs/>
                <w:sz w:val="18"/>
                <w:szCs w:val="18"/>
                <w:lang w:val="nl-BE"/>
              </w:rPr>
              <w:t>om de</w:t>
            </w:r>
            <w:r w:rsidRPr="007805CF">
              <w:rPr>
                <w:rFonts w:cs="Arial"/>
                <w:bCs/>
                <w:sz w:val="18"/>
                <w:szCs w:val="18"/>
                <w:lang w:val="nl-BE"/>
              </w:rPr>
              <w:t xml:space="preserve"> beste lange termijn uitkomst </w:t>
            </w:r>
            <w:r w:rsidR="000E50B5" w:rsidRPr="007805CF">
              <w:rPr>
                <w:rFonts w:cs="Arial"/>
                <w:bCs/>
                <w:sz w:val="18"/>
                <w:szCs w:val="18"/>
                <w:lang w:val="nl-BE"/>
              </w:rPr>
              <w:t>te bekomen volgens</w:t>
            </w:r>
            <w:r w:rsidRPr="007805CF">
              <w:rPr>
                <w:rFonts w:cs="Arial"/>
                <w:bCs/>
                <w:sz w:val="18"/>
                <w:szCs w:val="18"/>
                <w:lang w:val="nl-BE"/>
              </w:rPr>
              <w:t xml:space="preserve"> het oordeel van de behandelend arts kan worden beschouwd als een intensieve chemotherapiebehandeling.</w:t>
            </w:r>
          </w:p>
          <w:p w14:paraId="7C3475B1" w14:textId="2D559C30" w:rsidR="00F17064" w:rsidRPr="007805CF" w:rsidRDefault="00F17064" w:rsidP="00F17064">
            <w:pPr>
              <w:spacing w:after="0"/>
              <w:jc w:val="both"/>
              <w:rPr>
                <w:rFonts w:cs="Arial"/>
                <w:bCs/>
                <w:sz w:val="18"/>
                <w:szCs w:val="18"/>
                <w:lang w:val="nl-BE"/>
              </w:rPr>
            </w:pPr>
            <w:r w:rsidRPr="007805CF">
              <w:rPr>
                <w:rFonts w:cs="Arial"/>
                <w:bCs/>
                <w:sz w:val="18"/>
                <w:szCs w:val="18"/>
                <w:lang w:val="nl-BE"/>
              </w:rPr>
              <w:t xml:space="preserve">** De arts dient rekening te houden met de mate van hematopoëtisch herstel </w:t>
            </w:r>
            <w:r w:rsidR="00C41B6F">
              <w:rPr>
                <w:rFonts w:cs="Arial"/>
                <w:bCs/>
                <w:sz w:val="18"/>
                <w:szCs w:val="18"/>
                <w:lang w:val="nl-BE"/>
              </w:rPr>
              <w:t>sinds</w:t>
            </w:r>
            <w:r w:rsidRPr="007805CF">
              <w:rPr>
                <w:rFonts w:cs="Arial"/>
                <w:bCs/>
                <w:sz w:val="18"/>
                <w:szCs w:val="18"/>
                <w:lang w:val="nl-BE"/>
              </w:rPr>
              <w:t xml:space="preserve"> de </w:t>
            </w:r>
            <w:r w:rsidR="000E50B5" w:rsidRPr="007805CF">
              <w:rPr>
                <w:rFonts w:cs="Arial"/>
                <w:bCs/>
                <w:sz w:val="18"/>
                <w:szCs w:val="18"/>
                <w:lang w:val="nl-BE"/>
              </w:rPr>
              <w:t>voorgaande</w:t>
            </w:r>
            <w:r w:rsidRPr="007805CF">
              <w:rPr>
                <w:rFonts w:cs="Arial"/>
                <w:bCs/>
                <w:sz w:val="18"/>
                <w:szCs w:val="18"/>
                <w:lang w:val="nl-BE"/>
              </w:rPr>
              <w:t xml:space="preserve"> chemotherapie en</w:t>
            </w:r>
            <w:r w:rsidR="000E50B5" w:rsidRPr="007805CF">
              <w:rPr>
                <w:rFonts w:cs="Arial"/>
                <w:bCs/>
                <w:sz w:val="18"/>
                <w:szCs w:val="18"/>
                <w:lang w:val="nl-BE"/>
              </w:rPr>
              <w:t xml:space="preserve"> te</w:t>
            </w:r>
            <w:r w:rsidRPr="007805CF">
              <w:rPr>
                <w:rFonts w:cs="Arial"/>
                <w:bCs/>
                <w:sz w:val="18"/>
                <w:szCs w:val="18"/>
                <w:lang w:val="nl-BE"/>
              </w:rPr>
              <w:t xml:space="preserve"> beslissen of het functionele niveau van het beenmerg al dan niet toereikend is voor blinatumomab gebruik met het oog op de voordelen, maar ook </w:t>
            </w:r>
            <w:r w:rsidR="000E50B5" w:rsidRPr="007805CF">
              <w:rPr>
                <w:rFonts w:cs="Arial"/>
                <w:bCs/>
                <w:sz w:val="18"/>
                <w:szCs w:val="18"/>
                <w:lang w:val="nl-BE"/>
              </w:rPr>
              <w:t xml:space="preserve">de </w:t>
            </w:r>
            <w:r w:rsidRPr="007805CF">
              <w:rPr>
                <w:rFonts w:cs="Arial"/>
                <w:bCs/>
                <w:sz w:val="18"/>
                <w:szCs w:val="18"/>
                <w:lang w:val="nl-BE"/>
              </w:rPr>
              <w:t>risico's.</w:t>
            </w:r>
          </w:p>
          <w:p w14:paraId="72AD9648" w14:textId="77777777" w:rsidR="008669C4" w:rsidRPr="007805CF" w:rsidRDefault="008669C4" w:rsidP="0010677B">
            <w:pPr>
              <w:spacing w:after="0"/>
              <w:jc w:val="both"/>
              <w:rPr>
                <w:rFonts w:cs="Arial"/>
                <w:bCs/>
                <w:sz w:val="18"/>
                <w:szCs w:val="18"/>
                <w:lang w:val="nl-BE"/>
              </w:rPr>
            </w:pPr>
          </w:p>
          <w:p w14:paraId="086B4F7B" w14:textId="46DDD216" w:rsidR="008669C4" w:rsidRPr="007805CF" w:rsidRDefault="00727F9F" w:rsidP="0010677B">
            <w:pPr>
              <w:spacing w:after="0"/>
              <w:jc w:val="both"/>
              <w:outlineLvl w:val="0"/>
              <w:rPr>
                <w:u w:val="single"/>
                <w:lang w:val="nl-BE"/>
              </w:rPr>
            </w:pPr>
            <w:r w:rsidRPr="007805CF">
              <w:rPr>
                <w:u w:val="single"/>
                <w:lang w:val="nl-BE"/>
              </w:rPr>
              <w:t>Exclusie</w:t>
            </w:r>
            <w:r w:rsidR="008669C4" w:rsidRPr="007805CF">
              <w:rPr>
                <w:u w:val="single"/>
                <w:lang w:val="nl-BE"/>
              </w:rPr>
              <w:t>criteria</w:t>
            </w:r>
            <w:r w:rsidR="008669C4" w:rsidRPr="007805CF">
              <w:rPr>
                <w:lang w:val="nl-BE"/>
              </w:rPr>
              <w:t>:</w:t>
            </w:r>
          </w:p>
          <w:p w14:paraId="21A886CD" w14:textId="2D61704B" w:rsidR="000E50B5" w:rsidRPr="007805CF" w:rsidRDefault="000E50B5" w:rsidP="000E50B5">
            <w:pPr>
              <w:pStyle w:val="ListParagraph"/>
              <w:numPr>
                <w:ilvl w:val="0"/>
                <w:numId w:val="26"/>
              </w:numPr>
              <w:spacing w:after="0"/>
              <w:ind w:left="425" w:hanging="425"/>
              <w:jc w:val="both"/>
              <w:rPr>
                <w:lang w:val="nl-BE"/>
              </w:rPr>
            </w:pPr>
            <w:r w:rsidRPr="007805CF">
              <w:rPr>
                <w:lang w:val="nl-BE"/>
              </w:rPr>
              <w:t>Aanwezigheid van circul</w:t>
            </w:r>
            <w:r w:rsidR="002C209B">
              <w:rPr>
                <w:lang w:val="nl-BE"/>
              </w:rPr>
              <w:t>erende blasten of huidige extra</w:t>
            </w:r>
            <w:r w:rsidRPr="007805CF">
              <w:rPr>
                <w:lang w:val="nl-BE"/>
              </w:rPr>
              <w:t xml:space="preserve">medullaire </w:t>
            </w:r>
            <w:r w:rsidR="00C41B6F">
              <w:rPr>
                <w:lang w:val="nl-BE"/>
              </w:rPr>
              <w:t>ziekte</w:t>
            </w:r>
          </w:p>
          <w:p w14:paraId="1230C795" w14:textId="342B1DE4" w:rsidR="000E50B5" w:rsidRPr="007805CF" w:rsidRDefault="000E50B5" w:rsidP="000E50B5">
            <w:pPr>
              <w:pStyle w:val="ListParagraph"/>
              <w:numPr>
                <w:ilvl w:val="0"/>
                <w:numId w:val="26"/>
              </w:numPr>
              <w:spacing w:after="0"/>
              <w:ind w:left="425" w:hanging="425"/>
              <w:jc w:val="both"/>
              <w:rPr>
                <w:lang w:val="nl-BE"/>
              </w:rPr>
            </w:pPr>
            <w:r w:rsidRPr="007805CF">
              <w:rPr>
                <w:lang w:val="nl-BE"/>
              </w:rPr>
              <w:t>Geschiedenis van relevante CZS-pathologie of huidige relevante CZS-pathologie</w:t>
            </w:r>
          </w:p>
          <w:p w14:paraId="74655FDD" w14:textId="0D7B0D80" w:rsidR="000E50B5" w:rsidRPr="007805CF" w:rsidRDefault="000E50B5" w:rsidP="000E50B5">
            <w:pPr>
              <w:pStyle w:val="ListParagraph"/>
              <w:numPr>
                <w:ilvl w:val="0"/>
                <w:numId w:val="26"/>
              </w:numPr>
              <w:spacing w:after="0"/>
              <w:ind w:left="425" w:hanging="425"/>
              <w:jc w:val="both"/>
              <w:rPr>
                <w:lang w:val="nl-BE"/>
              </w:rPr>
            </w:pPr>
            <w:r w:rsidRPr="007805CF">
              <w:rPr>
                <w:lang w:val="nl-BE"/>
              </w:rPr>
              <w:t xml:space="preserve">Huidige infiltratie van cerebro-spinale </w:t>
            </w:r>
            <w:r w:rsidR="00C41B6F">
              <w:rPr>
                <w:lang w:val="nl-BE"/>
              </w:rPr>
              <w:t>vocht</w:t>
            </w:r>
            <w:r w:rsidRPr="007805CF">
              <w:rPr>
                <w:lang w:val="nl-BE"/>
              </w:rPr>
              <w:t xml:space="preserve"> door ALL</w:t>
            </w:r>
          </w:p>
          <w:p w14:paraId="4273B683" w14:textId="07F05C3F" w:rsidR="000E50B5" w:rsidRPr="007805CF" w:rsidRDefault="000E50B5" w:rsidP="000E50B5">
            <w:pPr>
              <w:pStyle w:val="ListParagraph"/>
              <w:numPr>
                <w:ilvl w:val="0"/>
                <w:numId w:val="26"/>
              </w:numPr>
              <w:spacing w:after="0"/>
              <w:ind w:left="425" w:hanging="425"/>
              <w:jc w:val="both"/>
              <w:rPr>
                <w:lang w:val="nl-BE"/>
              </w:rPr>
            </w:pPr>
            <w:r w:rsidRPr="007805CF">
              <w:rPr>
                <w:lang w:val="nl-BE"/>
              </w:rPr>
              <w:t>Geschiedenis van of actieve relevante auto-immuunziekte</w:t>
            </w:r>
          </w:p>
          <w:p w14:paraId="210AFF44" w14:textId="2B6C9FD1" w:rsidR="00056CB0" w:rsidRPr="007805CF" w:rsidRDefault="000E50B5" w:rsidP="000E50B5">
            <w:pPr>
              <w:pStyle w:val="ListParagraph"/>
              <w:numPr>
                <w:ilvl w:val="0"/>
                <w:numId w:val="26"/>
              </w:numPr>
              <w:spacing w:after="0"/>
              <w:ind w:left="425" w:hanging="425"/>
              <w:jc w:val="both"/>
              <w:rPr>
                <w:lang w:val="nl-BE"/>
              </w:rPr>
            </w:pPr>
            <w:r w:rsidRPr="007805CF">
              <w:rPr>
                <w:lang w:val="nl-BE"/>
              </w:rPr>
              <w:t>Gekende o</w:t>
            </w:r>
            <w:r w:rsidR="00056CB0" w:rsidRPr="007805CF">
              <w:rPr>
                <w:lang w:val="nl-BE"/>
              </w:rPr>
              <w:t>vergevoeligheid</w:t>
            </w:r>
            <w:r w:rsidR="00C41B6F">
              <w:rPr>
                <w:lang w:val="nl-BE"/>
              </w:rPr>
              <w:t xml:space="preserve"> voor immunoglobulinen,</w:t>
            </w:r>
            <w:r w:rsidRPr="007805CF">
              <w:rPr>
                <w:lang w:val="nl-BE"/>
              </w:rPr>
              <w:t xml:space="preserve"> voor de werkzame stof of voor een van de hulpstoffen</w:t>
            </w:r>
          </w:p>
          <w:p w14:paraId="2278085A" w14:textId="73DA841B" w:rsidR="00056CB0" w:rsidRPr="007805CF" w:rsidRDefault="00056CB0" w:rsidP="000E50B5">
            <w:pPr>
              <w:pStyle w:val="ListParagraph"/>
              <w:numPr>
                <w:ilvl w:val="0"/>
                <w:numId w:val="26"/>
              </w:numPr>
              <w:spacing w:after="0"/>
              <w:ind w:left="425" w:hanging="425"/>
              <w:jc w:val="both"/>
              <w:rPr>
                <w:lang w:val="nl-BE"/>
              </w:rPr>
            </w:pPr>
            <w:r w:rsidRPr="007805CF">
              <w:rPr>
                <w:lang w:val="nl-BE"/>
              </w:rPr>
              <w:t xml:space="preserve">Het geven van borstvoeding </w:t>
            </w:r>
          </w:p>
          <w:p w14:paraId="610F0CD3" w14:textId="3634DFAE" w:rsidR="008669C4" w:rsidRPr="00A52F6D" w:rsidRDefault="00CA14D4" w:rsidP="000E50B5">
            <w:pPr>
              <w:pStyle w:val="ListParagraph"/>
              <w:numPr>
                <w:ilvl w:val="0"/>
                <w:numId w:val="26"/>
              </w:numPr>
              <w:spacing w:after="0"/>
              <w:ind w:left="425" w:hanging="425"/>
              <w:jc w:val="both"/>
              <w:rPr>
                <w:lang w:val="nl-BE"/>
              </w:rPr>
            </w:pPr>
            <w:r w:rsidRPr="007805CF">
              <w:rPr>
                <w:rFonts w:cs="Arial"/>
                <w:bCs/>
                <w:lang w:val="nl-BE"/>
              </w:rPr>
              <w:t>De patiënt</w:t>
            </w:r>
            <w:r w:rsidR="00056CB0" w:rsidRPr="007805CF">
              <w:rPr>
                <w:rFonts w:cs="Arial"/>
                <w:bCs/>
                <w:lang w:val="nl-BE"/>
              </w:rPr>
              <w:t xml:space="preserve"> komt</w:t>
            </w:r>
            <w:r w:rsidRPr="007805CF">
              <w:rPr>
                <w:rFonts w:cs="Arial"/>
                <w:bCs/>
                <w:lang w:val="nl-BE"/>
              </w:rPr>
              <w:t xml:space="preserve"> in aanmerking voor een </w:t>
            </w:r>
            <w:r w:rsidR="00056CB0" w:rsidRPr="007805CF">
              <w:rPr>
                <w:rFonts w:cs="Arial"/>
                <w:bCs/>
                <w:lang w:val="nl-BE"/>
              </w:rPr>
              <w:t xml:space="preserve">lopende </w:t>
            </w:r>
            <w:r w:rsidRPr="007805CF">
              <w:rPr>
                <w:rFonts w:cs="Arial"/>
                <w:bCs/>
                <w:lang w:val="nl-BE"/>
              </w:rPr>
              <w:t xml:space="preserve">klinische studie </w:t>
            </w:r>
            <w:r w:rsidR="00056CB0" w:rsidRPr="007805CF">
              <w:rPr>
                <w:rFonts w:cs="Arial"/>
                <w:bCs/>
                <w:lang w:val="nl-BE"/>
              </w:rPr>
              <w:t xml:space="preserve">met blinatumomab en/of een lopende klinische studie die </w:t>
            </w:r>
            <w:r w:rsidRPr="007805CF">
              <w:rPr>
                <w:rFonts w:cs="Arial"/>
                <w:bCs/>
                <w:lang w:val="nl-BE"/>
              </w:rPr>
              <w:t>wordt uitgevoerd in de indicatie waarvoor dit programma is bedoeld</w:t>
            </w:r>
            <w:r w:rsidR="000C5B86">
              <w:rPr>
                <w:rFonts w:cs="Arial"/>
                <w:bCs/>
                <w:lang w:val="nl-BE"/>
              </w:rPr>
              <w:t xml:space="preserve"> (zoals </w:t>
            </w:r>
            <w:r w:rsidR="000C5B86">
              <w:rPr>
                <w:lang w:val="nl-BE"/>
              </w:rPr>
              <w:t xml:space="preserve">studie GRAALL-2014 - </w:t>
            </w:r>
            <w:r w:rsidR="000C5B86" w:rsidRPr="00187D02">
              <w:rPr>
                <w:lang w:val="nl-BE"/>
              </w:rPr>
              <w:t>EUDRACT: 2014-002146-44)</w:t>
            </w:r>
          </w:p>
          <w:p w14:paraId="196BF0D1" w14:textId="77777777" w:rsidR="008669C4" w:rsidRPr="00187D02" w:rsidRDefault="008669C4" w:rsidP="0010677B">
            <w:pPr>
              <w:tabs>
                <w:tab w:val="left" w:pos="743"/>
              </w:tabs>
              <w:spacing w:after="0"/>
              <w:jc w:val="both"/>
              <w:rPr>
                <w:rFonts w:cs="Arial"/>
                <w:lang w:val="nl-BE"/>
              </w:rPr>
            </w:pPr>
            <w:bookmarkStart w:id="0" w:name="_GoBack"/>
            <w:bookmarkEnd w:id="0"/>
          </w:p>
          <w:p w14:paraId="3B59C47A" w14:textId="58C35B3E" w:rsidR="008669C4" w:rsidRPr="007805CF" w:rsidRDefault="002725A1" w:rsidP="0010677B">
            <w:pPr>
              <w:spacing w:after="0"/>
              <w:jc w:val="both"/>
              <w:outlineLvl w:val="0"/>
              <w:rPr>
                <w:rFonts w:cs="Arial"/>
                <w:lang w:val="nl-BE"/>
              </w:rPr>
            </w:pPr>
            <w:r w:rsidRPr="007805CF">
              <w:rPr>
                <w:rFonts w:cs="Arial"/>
                <w:lang w:val="nl-BE"/>
              </w:rPr>
              <w:t xml:space="preserve">Behandeling met blinatumomab moet zorgvuldig worden overwogen op basis van de </w:t>
            </w:r>
            <w:r w:rsidRPr="007805CF">
              <w:rPr>
                <w:lang w:val="nl-BE"/>
              </w:rPr>
              <w:t>beoordeling van de baten en risico’s voor iedere individuele patiënt</w:t>
            </w:r>
            <w:r w:rsidRPr="007805CF">
              <w:rPr>
                <w:rFonts w:cs="Arial"/>
                <w:lang w:val="nl-BE"/>
              </w:rPr>
              <w:t xml:space="preserve"> (bijv. rekening houdend met leeftijd, comorbiditeit, toxiciteit, beenmergfunctie, enz.).</w:t>
            </w:r>
          </w:p>
          <w:p w14:paraId="17FE7542" w14:textId="77777777" w:rsidR="002725A1" w:rsidRPr="007805CF" w:rsidRDefault="002725A1" w:rsidP="0010677B">
            <w:pPr>
              <w:spacing w:after="0"/>
              <w:jc w:val="both"/>
              <w:outlineLvl w:val="0"/>
              <w:rPr>
                <w:bCs/>
                <w:u w:val="single"/>
                <w:lang w:val="nl-BE"/>
              </w:rPr>
            </w:pPr>
          </w:p>
          <w:p w14:paraId="7DD33EB4" w14:textId="3DA1DEA2" w:rsidR="008669C4" w:rsidRPr="007805CF" w:rsidRDefault="002725A1" w:rsidP="0010677B">
            <w:pPr>
              <w:spacing w:after="0"/>
              <w:jc w:val="both"/>
              <w:outlineLvl w:val="0"/>
              <w:rPr>
                <w:u w:val="single"/>
                <w:lang w:val="nl-BE"/>
              </w:rPr>
            </w:pPr>
            <w:r w:rsidRPr="007805CF">
              <w:rPr>
                <w:bCs/>
                <w:u w:val="single"/>
                <w:lang w:val="nl-BE"/>
              </w:rPr>
              <w:t>Proces waaronder patiënten worden toegelaten</w:t>
            </w:r>
            <w:r w:rsidR="008669C4" w:rsidRPr="007805CF">
              <w:rPr>
                <w:bCs/>
                <w:lang w:val="nl-BE"/>
              </w:rPr>
              <w:t>:</w:t>
            </w:r>
          </w:p>
          <w:p w14:paraId="2C197D0C" w14:textId="0DAE88FA" w:rsidR="008669C4" w:rsidRPr="007805CF" w:rsidRDefault="002725A1" w:rsidP="000E50B5">
            <w:pPr>
              <w:pStyle w:val="ListParagraph"/>
              <w:numPr>
                <w:ilvl w:val="0"/>
                <w:numId w:val="27"/>
              </w:numPr>
              <w:spacing w:after="0"/>
              <w:ind w:left="425" w:hanging="425"/>
              <w:jc w:val="both"/>
              <w:rPr>
                <w:rFonts w:cs="Arial"/>
                <w:bCs/>
                <w:lang w:val="nl-BE"/>
              </w:rPr>
            </w:pPr>
            <w:r w:rsidRPr="007805CF">
              <w:rPr>
                <w:rFonts w:cs="Arial"/>
                <w:bCs/>
                <w:lang w:val="nl-BE"/>
              </w:rPr>
              <w:t xml:space="preserve">Ingevulde en ondertekende </w:t>
            </w:r>
            <w:r w:rsidR="008669C4" w:rsidRPr="007805CF">
              <w:rPr>
                <w:rFonts w:cs="Arial"/>
                <w:bCs/>
                <w:lang w:val="nl-BE"/>
              </w:rPr>
              <w:t>ICF</w:t>
            </w:r>
          </w:p>
          <w:p w14:paraId="53223204" w14:textId="77777777" w:rsidR="002725A1" w:rsidRPr="007805CF" w:rsidRDefault="002725A1" w:rsidP="000E50B5">
            <w:pPr>
              <w:pStyle w:val="ListParagraph"/>
              <w:numPr>
                <w:ilvl w:val="0"/>
                <w:numId w:val="27"/>
              </w:numPr>
              <w:spacing w:after="0"/>
              <w:ind w:left="425" w:hanging="425"/>
              <w:jc w:val="both"/>
              <w:rPr>
                <w:rFonts w:cs="Arial"/>
                <w:bCs/>
                <w:lang w:val="nl-BE"/>
              </w:rPr>
            </w:pPr>
            <w:r w:rsidRPr="007805CF">
              <w:rPr>
                <w:rFonts w:cs="Arial"/>
                <w:bCs/>
                <w:lang w:val="nl-BE"/>
              </w:rPr>
              <w:t>Schriftelijk verzoek van de behandelende arts</w:t>
            </w:r>
          </w:p>
          <w:p w14:paraId="6D8EAB03" w14:textId="77777777" w:rsidR="002725A1" w:rsidRPr="007805CF" w:rsidRDefault="002725A1" w:rsidP="000E50B5">
            <w:pPr>
              <w:pStyle w:val="ListParagraph"/>
              <w:numPr>
                <w:ilvl w:val="0"/>
                <w:numId w:val="27"/>
              </w:numPr>
              <w:spacing w:after="0"/>
              <w:ind w:left="425" w:hanging="425"/>
              <w:jc w:val="both"/>
              <w:rPr>
                <w:rFonts w:cs="Arial"/>
                <w:bCs/>
                <w:lang w:val="nl-BE"/>
              </w:rPr>
            </w:pPr>
            <w:r w:rsidRPr="007805CF">
              <w:rPr>
                <w:rFonts w:cs="Arial"/>
                <w:bCs/>
                <w:lang w:val="nl-BE"/>
              </w:rPr>
              <w:t>Positief advies van de verantwoordelijke arts</w:t>
            </w:r>
          </w:p>
          <w:p w14:paraId="046B5774" w14:textId="09361413" w:rsidR="008669C4" w:rsidRPr="007805CF" w:rsidRDefault="002725A1" w:rsidP="000E50B5">
            <w:pPr>
              <w:pStyle w:val="ListParagraph"/>
              <w:numPr>
                <w:ilvl w:val="0"/>
                <w:numId w:val="27"/>
              </w:numPr>
              <w:spacing w:after="0"/>
              <w:ind w:left="425" w:hanging="425"/>
              <w:jc w:val="both"/>
              <w:rPr>
                <w:rFonts w:cs="Arial"/>
                <w:bCs/>
                <w:lang w:val="nl-BE"/>
              </w:rPr>
            </w:pPr>
            <w:r w:rsidRPr="007805CF">
              <w:rPr>
                <w:rFonts w:cs="Arial"/>
                <w:bCs/>
                <w:lang w:val="nl-BE"/>
              </w:rPr>
              <w:t>Bevestiging van inschrijving door de verantwoordelijke van het programma</w:t>
            </w:r>
          </w:p>
          <w:p w14:paraId="7AACD552" w14:textId="77777777" w:rsidR="002725A1" w:rsidRPr="007805CF" w:rsidRDefault="002725A1" w:rsidP="002725A1">
            <w:pPr>
              <w:spacing w:after="0"/>
              <w:jc w:val="both"/>
              <w:rPr>
                <w:rFonts w:cs="Arial"/>
                <w:lang w:val="nl-BE"/>
              </w:rPr>
            </w:pPr>
          </w:p>
          <w:p w14:paraId="0B98BBBF" w14:textId="58D1B28F" w:rsidR="008669C4" w:rsidRPr="007805CF" w:rsidRDefault="002725A1" w:rsidP="0010677B">
            <w:pPr>
              <w:spacing w:after="0"/>
              <w:jc w:val="both"/>
              <w:rPr>
                <w:rFonts w:cs="Arial"/>
                <w:lang w:val="nl-BE"/>
              </w:rPr>
            </w:pPr>
            <w:r w:rsidRPr="007805CF">
              <w:rPr>
                <w:rFonts w:cs="Arial"/>
                <w:lang w:val="nl-BE"/>
              </w:rPr>
              <w:t>Rekening houdend met de urgentie van de ziekte, zullen alle verzoeken zo snel als mogelijk worden behandeld, en uiterlijk binnen 1 week na het verzoek.</w:t>
            </w:r>
          </w:p>
          <w:p w14:paraId="531CF9BF" w14:textId="77777777" w:rsidR="002725A1" w:rsidRPr="007805CF" w:rsidRDefault="002725A1" w:rsidP="0010677B">
            <w:pPr>
              <w:spacing w:after="0"/>
              <w:jc w:val="both"/>
              <w:rPr>
                <w:rFonts w:cs="Arial"/>
                <w:lang w:val="nl-BE"/>
              </w:rPr>
            </w:pPr>
          </w:p>
          <w:p w14:paraId="03F030BF" w14:textId="0EF97A2D" w:rsidR="008669C4" w:rsidRPr="007805CF" w:rsidRDefault="002725A1" w:rsidP="0010677B">
            <w:pPr>
              <w:keepNext/>
              <w:keepLines/>
              <w:spacing w:after="0"/>
              <w:outlineLvl w:val="0"/>
              <w:rPr>
                <w:lang w:val="nl-BE"/>
              </w:rPr>
            </w:pPr>
            <w:r w:rsidRPr="007805CF">
              <w:rPr>
                <w:rFonts w:cs="Arial"/>
                <w:lang w:val="nl-BE"/>
              </w:rPr>
              <w:t>Blinatumomab wordt voor 2 behandelingscycli verstrekt. De behoefte aan maximaal 2 extra behandelingscycli is patiëntafhankelijk en zal worden bepaald door de behandelend arts.</w:t>
            </w:r>
            <w:r w:rsidR="008669C4" w:rsidRPr="007805CF">
              <w:rPr>
                <w:rFonts w:cs="Arial"/>
                <w:lang w:val="nl-BE"/>
              </w:rPr>
              <w:t xml:space="preserve"> </w:t>
            </w:r>
          </w:p>
        </w:tc>
      </w:tr>
      <w:tr w:rsidR="00960009" w:rsidRPr="000C5B86" w14:paraId="4C78ECFE" w14:textId="77777777" w:rsidTr="00960009">
        <w:trPr>
          <w:trHeight w:val="851"/>
        </w:trPr>
        <w:tc>
          <w:tcPr>
            <w:tcW w:w="2836" w:type="dxa"/>
            <w:vAlign w:val="center"/>
          </w:tcPr>
          <w:p w14:paraId="53742BB6" w14:textId="77777777" w:rsidR="00960009" w:rsidRPr="007805CF" w:rsidRDefault="00960009" w:rsidP="002D740B">
            <w:pPr>
              <w:spacing w:after="0" w:line="240" w:lineRule="auto"/>
              <w:outlineLvl w:val="0"/>
              <w:rPr>
                <w:lang w:val="nl-BE"/>
              </w:rPr>
            </w:pPr>
            <w:r w:rsidRPr="007805CF">
              <w:rPr>
                <w:lang w:val="nl-BE"/>
              </w:rPr>
              <w:lastRenderedPageBreak/>
              <w:t>Looptijd</w:t>
            </w:r>
          </w:p>
        </w:tc>
        <w:tc>
          <w:tcPr>
            <w:tcW w:w="7371" w:type="dxa"/>
            <w:shd w:val="clear" w:color="auto" w:fill="auto"/>
            <w:vAlign w:val="center"/>
          </w:tcPr>
          <w:p w14:paraId="6F2A6779" w14:textId="172B6D34" w:rsidR="00960009" w:rsidRPr="007805CF" w:rsidRDefault="00256708" w:rsidP="002D740B">
            <w:pPr>
              <w:spacing w:after="0"/>
              <w:jc w:val="both"/>
              <w:rPr>
                <w:rFonts w:cs="Arial"/>
                <w:highlight w:val="yellow"/>
                <w:lang w:val="nl-BE"/>
              </w:rPr>
            </w:pPr>
            <w:r w:rsidRPr="007805CF">
              <w:rPr>
                <w:rFonts w:cs="Arial"/>
                <w:lang w:val="nl-BE"/>
              </w:rPr>
              <w:t>Dit programma zal starten na de indiening van de co</w:t>
            </w:r>
            <w:r w:rsidR="00BF6900" w:rsidRPr="007805CF">
              <w:rPr>
                <w:rFonts w:cs="Arial"/>
                <w:lang w:val="nl-BE"/>
              </w:rPr>
              <w:t>horte-aanvraag</w:t>
            </w:r>
            <w:r w:rsidRPr="007805CF">
              <w:rPr>
                <w:rFonts w:cs="Arial"/>
                <w:lang w:val="nl-BE"/>
              </w:rPr>
              <w:t xml:space="preserve"> bij het RIZIV of ten laatste op 1 januari 2016 en de uitvoering ervan zal in overeenstemming zijn met de wettelijke vereisten.</w:t>
            </w:r>
            <w:r w:rsidR="00960009" w:rsidRPr="007805CF">
              <w:rPr>
                <w:rFonts w:cs="Arial"/>
                <w:highlight w:val="yellow"/>
                <w:lang w:val="nl-BE"/>
              </w:rPr>
              <w:t xml:space="preserve"> </w:t>
            </w:r>
          </w:p>
          <w:p w14:paraId="48D07781" w14:textId="77777777" w:rsidR="00960009" w:rsidRPr="007805CF" w:rsidRDefault="00960009" w:rsidP="002D740B">
            <w:pPr>
              <w:spacing w:after="0"/>
              <w:jc w:val="both"/>
              <w:rPr>
                <w:rFonts w:cs="Arial"/>
                <w:highlight w:val="yellow"/>
                <w:lang w:val="nl-BE"/>
              </w:rPr>
            </w:pPr>
          </w:p>
          <w:p w14:paraId="542F727D" w14:textId="77777777" w:rsidR="00BF6900" w:rsidRPr="007805CF" w:rsidRDefault="00256708" w:rsidP="002D740B">
            <w:pPr>
              <w:spacing w:after="0"/>
              <w:jc w:val="both"/>
              <w:rPr>
                <w:rFonts w:cs="Arial"/>
                <w:lang w:val="nl-BE"/>
              </w:rPr>
            </w:pPr>
            <w:r w:rsidRPr="007805CF">
              <w:rPr>
                <w:rFonts w:cs="Arial"/>
                <w:lang w:val="nl-BE"/>
              </w:rPr>
              <w:lastRenderedPageBreak/>
              <w:t>Blinatumomab wordt gratis door Amgen op individuele basis verstrekt volgens de criteria die in dit programma zijn vermeld, totdat de patiënt volgens het klinische oordeel van de behandelend arts niet langer baat heeft bij voortzetting van de behandeling. Of totdat een van de volgende stopcriteria voor het beëindigen van het programma is bereikt (welke ook eerst komt):</w:t>
            </w:r>
          </w:p>
          <w:p w14:paraId="0B009489" w14:textId="59E6FBC7" w:rsidR="00BF6900" w:rsidRPr="007805CF" w:rsidRDefault="00BF6900" w:rsidP="002D740B">
            <w:pPr>
              <w:pStyle w:val="ListParagraph"/>
              <w:numPr>
                <w:ilvl w:val="0"/>
                <w:numId w:val="23"/>
              </w:numPr>
              <w:spacing w:after="0"/>
              <w:ind w:left="425" w:hanging="425"/>
              <w:jc w:val="both"/>
              <w:rPr>
                <w:rFonts w:cs="Arial"/>
                <w:lang w:val="nl-BE"/>
              </w:rPr>
            </w:pPr>
            <w:r w:rsidRPr="007805CF">
              <w:rPr>
                <w:rFonts w:cs="Arial"/>
                <w:lang w:val="nl-BE"/>
              </w:rPr>
              <w:t>Blinatumomab wordt vergoed in de indicatie MRD+ ALL in België.</w:t>
            </w:r>
          </w:p>
          <w:p w14:paraId="304F0CCF" w14:textId="0673D89C" w:rsidR="00BF6900" w:rsidRPr="007805CF" w:rsidRDefault="00BF6900" w:rsidP="002D740B">
            <w:pPr>
              <w:pStyle w:val="ListParagraph"/>
              <w:numPr>
                <w:ilvl w:val="0"/>
                <w:numId w:val="23"/>
              </w:numPr>
              <w:spacing w:after="0"/>
              <w:ind w:left="425" w:hanging="425"/>
              <w:jc w:val="both"/>
              <w:rPr>
                <w:rFonts w:cs="Arial"/>
                <w:lang w:val="nl-BE"/>
              </w:rPr>
            </w:pPr>
            <w:r w:rsidRPr="007805CF">
              <w:rPr>
                <w:rFonts w:cs="Arial"/>
                <w:lang w:val="nl-BE"/>
              </w:rPr>
              <w:t>EMA beslist finaal dat de baten / risicobeoordeling de registratie van blinatumomab bij deze indicatie niet ondersteunt.</w:t>
            </w:r>
          </w:p>
          <w:p w14:paraId="63AB2E26" w14:textId="785AA43E" w:rsidR="00BF6900" w:rsidRPr="007805CF" w:rsidRDefault="00BF6900" w:rsidP="002D740B">
            <w:pPr>
              <w:pStyle w:val="ListParagraph"/>
              <w:numPr>
                <w:ilvl w:val="0"/>
                <w:numId w:val="23"/>
              </w:numPr>
              <w:spacing w:after="0"/>
              <w:ind w:left="425" w:hanging="425"/>
              <w:jc w:val="both"/>
              <w:rPr>
                <w:rFonts w:cs="Arial"/>
                <w:lang w:val="nl-BE"/>
              </w:rPr>
            </w:pPr>
            <w:r w:rsidRPr="007805CF">
              <w:rPr>
                <w:rFonts w:cs="Arial"/>
                <w:lang w:val="nl-BE"/>
              </w:rPr>
              <w:t>Amgen besluit het registratiedossier in te trekken na een ongunstig baten / risicoprofiel van blinatumomab bij de behandeling van MRD+ ALL.</w:t>
            </w:r>
          </w:p>
          <w:p w14:paraId="3916568D" w14:textId="18431DD2" w:rsidR="00BF6900" w:rsidRPr="007805CF" w:rsidRDefault="00BF6900" w:rsidP="002D740B">
            <w:pPr>
              <w:pStyle w:val="ListParagraph"/>
              <w:numPr>
                <w:ilvl w:val="0"/>
                <w:numId w:val="23"/>
              </w:numPr>
              <w:spacing w:after="0"/>
              <w:ind w:left="425" w:hanging="425"/>
              <w:jc w:val="both"/>
              <w:rPr>
                <w:rFonts w:cs="Arial"/>
                <w:lang w:val="nl-BE"/>
              </w:rPr>
            </w:pPr>
            <w:r w:rsidRPr="007805CF">
              <w:rPr>
                <w:rFonts w:cs="Arial"/>
                <w:lang w:val="nl-BE"/>
              </w:rPr>
              <w:t>Amgen besluit om de ontwikkeling van blinatumomab in deze indicatie te stoppen.</w:t>
            </w:r>
          </w:p>
          <w:p w14:paraId="11B0672F" w14:textId="1F3B42A4" w:rsidR="00256708" w:rsidRPr="007805CF" w:rsidRDefault="00BF6900" w:rsidP="002D740B">
            <w:pPr>
              <w:spacing w:after="0"/>
              <w:jc w:val="both"/>
              <w:rPr>
                <w:rFonts w:cs="Arial"/>
                <w:highlight w:val="yellow"/>
                <w:lang w:val="nl-BE"/>
              </w:rPr>
            </w:pPr>
            <w:r w:rsidRPr="007805CF">
              <w:rPr>
                <w:rFonts w:cs="Arial"/>
                <w:lang w:val="nl-BE"/>
              </w:rPr>
              <w:t>Of uiterlijk tot eind 20</w:t>
            </w:r>
            <w:r w:rsidR="0005261A">
              <w:rPr>
                <w:rFonts w:cs="Arial"/>
                <w:lang w:val="nl-BE"/>
              </w:rPr>
              <w:t>20</w:t>
            </w:r>
            <w:r w:rsidRPr="007805CF">
              <w:rPr>
                <w:rFonts w:cs="Arial"/>
                <w:lang w:val="nl-BE"/>
              </w:rPr>
              <w:t>.</w:t>
            </w:r>
          </w:p>
          <w:p w14:paraId="494034BC" w14:textId="77777777" w:rsidR="00960009" w:rsidRPr="007805CF" w:rsidRDefault="00960009" w:rsidP="002D740B">
            <w:pPr>
              <w:spacing w:after="0"/>
              <w:jc w:val="both"/>
              <w:rPr>
                <w:rFonts w:cs="Arial"/>
                <w:highlight w:val="yellow"/>
                <w:lang w:val="nl-BE"/>
              </w:rPr>
            </w:pPr>
          </w:p>
          <w:p w14:paraId="2ABDBFEF" w14:textId="709CCBD9" w:rsidR="00960009" w:rsidRPr="007805CF" w:rsidRDefault="00BF6900" w:rsidP="002D740B">
            <w:pPr>
              <w:spacing w:after="0"/>
              <w:outlineLvl w:val="0"/>
              <w:rPr>
                <w:lang w:val="nl-BE"/>
              </w:rPr>
            </w:pPr>
            <w:r w:rsidRPr="007805CF">
              <w:rPr>
                <w:rFonts w:cs="Arial"/>
                <w:lang w:val="nl-BE"/>
              </w:rPr>
              <w:t>Het programma zal regelmatig worden beoordeeld door Amgen, die het recht heeft om het programma op elk moment te beëindigen. Patiënten die al in het programma waren opgenomen, zullen worden ondersteund tot het einde van hun behandeling.</w:t>
            </w:r>
          </w:p>
        </w:tc>
      </w:tr>
      <w:tr w:rsidR="00960009" w:rsidRPr="000C5B86" w14:paraId="045CB785" w14:textId="77777777" w:rsidTr="00960009">
        <w:trPr>
          <w:trHeight w:val="851"/>
        </w:trPr>
        <w:tc>
          <w:tcPr>
            <w:tcW w:w="2836" w:type="dxa"/>
            <w:vAlign w:val="center"/>
          </w:tcPr>
          <w:p w14:paraId="5628BCD1" w14:textId="77777777" w:rsidR="00960009" w:rsidRPr="007805CF" w:rsidRDefault="00960009" w:rsidP="002D740B">
            <w:pPr>
              <w:spacing w:after="0" w:line="240" w:lineRule="auto"/>
              <w:outlineLvl w:val="0"/>
              <w:rPr>
                <w:lang w:val="nl-BE"/>
              </w:rPr>
            </w:pPr>
            <w:r w:rsidRPr="007805CF">
              <w:rPr>
                <w:lang w:val="nl-BE"/>
              </w:rPr>
              <w:lastRenderedPageBreak/>
              <w:t>Distributievoorwaarden</w:t>
            </w:r>
          </w:p>
        </w:tc>
        <w:tc>
          <w:tcPr>
            <w:tcW w:w="7371" w:type="dxa"/>
            <w:shd w:val="clear" w:color="auto" w:fill="auto"/>
            <w:vAlign w:val="center"/>
          </w:tcPr>
          <w:p w14:paraId="73E07105" w14:textId="0300EC51" w:rsidR="00960009" w:rsidRPr="007805CF" w:rsidRDefault="00960009" w:rsidP="002D740B">
            <w:pPr>
              <w:spacing w:after="0"/>
              <w:outlineLvl w:val="0"/>
              <w:rPr>
                <w:lang w:val="nl-BE"/>
              </w:rPr>
            </w:pPr>
            <w:r w:rsidRPr="007805CF">
              <w:rPr>
                <w:lang w:val="nl-BE"/>
              </w:rPr>
              <w:t>Blinatumomab dient te worden aangevraagd door de behandelend arts. Als het advies van de verantwoordelijke arts positief is, stelt de verantwoordelijke van het programma het geneesmiddel beschikbaar aan de behandelend arts. Na goedkeuring van het verzoek wordt een schriftelijke bevestiging gestuurd naar de behandelend arts en wordt blinatumomab naar de ziekenhuisapotheek gestuurd. De behandeling dient te worden ingesteld onder begeleiding en toezicht van de behandelend arts.</w:t>
            </w:r>
          </w:p>
        </w:tc>
      </w:tr>
      <w:tr w:rsidR="00527AC4" w:rsidRPr="00821640" w14:paraId="70BA3AA7" w14:textId="77777777" w:rsidTr="009A25FC">
        <w:trPr>
          <w:trHeight w:val="851"/>
        </w:trPr>
        <w:tc>
          <w:tcPr>
            <w:tcW w:w="2836" w:type="dxa"/>
            <w:vAlign w:val="center"/>
          </w:tcPr>
          <w:p w14:paraId="73F90F9A" w14:textId="77777777" w:rsidR="00527AC4" w:rsidRPr="007805CF" w:rsidRDefault="00527AC4" w:rsidP="002D740B">
            <w:pPr>
              <w:spacing w:after="0" w:line="240" w:lineRule="auto"/>
              <w:outlineLvl w:val="0"/>
              <w:rPr>
                <w:lang w:val="nl-BE"/>
              </w:rPr>
            </w:pPr>
            <w:r w:rsidRPr="007805CF">
              <w:rPr>
                <w:lang w:val="nl-BE"/>
              </w:rPr>
              <w:t xml:space="preserve">Verantwoordelijke </w:t>
            </w:r>
          </w:p>
        </w:tc>
        <w:tc>
          <w:tcPr>
            <w:tcW w:w="7371" w:type="dxa"/>
            <w:vAlign w:val="center"/>
          </w:tcPr>
          <w:p w14:paraId="1571A113" w14:textId="080C1918" w:rsidR="006D713D" w:rsidRPr="007805CF" w:rsidRDefault="006D713D" w:rsidP="002D740B">
            <w:pPr>
              <w:spacing w:after="0"/>
              <w:rPr>
                <w:u w:val="single"/>
                <w:lang w:val="nl-BE"/>
              </w:rPr>
            </w:pPr>
            <w:r w:rsidRPr="007805CF">
              <w:rPr>
                <w:u w:val="single"/>
                <w:lang w:val="nl-BE"/>
              </w:rPr>
              <w:t>Verantwoordelijke voor het programma:</w:t>
            </w:r>
          </w:p>
          <w:p w14:paraId="106EEDC0" w14:textId="1BDA0153" w:rsidR="00527AC4" w:rsidRPr="007805CF" w:rsidRDefault="00527AC4" w:rsidP="002D740B">
            <w:pPr>
              <w:spacing w:after="0"/>
              <w:rPr>
                <w:lang w:val="nl-BE"/>
              </w:rPr>
            </w:pPr>
            <w:r w:rsidRPr="007805CF">
              <w:rPr>
                <w:lang w:val="nl-BE"/>
              </w:rPr>
              <w:t>Amgen n.v.</w:t>
            </w:r>
          </w:p>
          <w:p w14:paraId="0AA3A317" w14:textId="77777777" w:rsidR="00527AC4" w:rsidRPr="007805CF" w:rsidRDefault="00527AC4" w:rsidP="002D740B">
            <w:pPr>
              <w:spacing w:after="0"/>
              <w:jc w:val="both"/>
              <w:rPr>
                <w:lang w:val="nl-BE"/>
              </w:rPr>
            </w:pPr>
            <w:r w:rsidRPr="007805CF">
              <w:rPr>
                <w:lang w:val="nl-BE"/>
              </w:rPr>
              <w:t>Telecomlaan 5-7</w:t>
            </w:r>
          </w:p>
          <w:p w14:paraId="42B44FA5" w14:textId="77777777" w:rsidR="00527AC4" w:rsidRPr="007805CF" w:rsidRDefault="00527AC4" w:rsidP="002D740B">
            <w:pPr>
              <w:spacing w:after="0"/>
              <w:rPr>
                <w:lang w:val="nl-BE"/>
              </w:rPr>
            </w:pPr>
            <w:r w:rsidRPr="007805CF">
              <w:rPr>
                <w:lang w:val="nl-BE"/>
              </w:rPr>
              <w:t xml:space="preserve">1831 Diegem </w:t>
            </w:r>
          </w:p>
          <w:p w14:paraId="1A603FD1" w14:textId="77777777" w:rsidR="00527AC4" w:rsidRPr="007805CF" w:rsidRDefault="00527AC4" w:rsidP="002D740B">
            <w:pPr>
              <w:spacing w:after="0"/>
              <w:jc w:val="both"/>
              <w:outlineLvl w:val="0"/>
              <w:rPr>
                <w:lang w:val="nl-BE"/>
              </w:rPr>
            </w:pPr>
            <w:r w:rsidRPr="007805CF">
              <w:rPr>
                <w:lang w:val="nl-BE"/>
              </w:rPr>
              <w:t>+32 2 775 27 11</w:t>
            </w:r>
          </w:p>
          <w:p w14:paraId="797CE45A" w14:textId="77777777" w:rsidR="00527AC4" w:rsidRPr="007805CF" w:rsidRDefault="00527AC4" w:rsidP="002D740B">
            <w:pPr>
              <w:spacing w:after="0"/>
              <w:jc w:val="both"/>
              <w:outlineLvl w:val="0"/>
              <w:rPr>
                <w:sz w:val="16"/>
                <w:szCs w:val="16"/>
                <w:lang w:val="nl-BE"/>
              </w:rPr>
            </w:pPr>
          </w:p>
          <w:p w14:paraId="3361C717" w14:textId="77777777" w:rsidR="006D713D" w:rsidRPr="007805CF" w:rsidRDefault="006D713D" w:rsidP="002D740B">
            <w:pPr>
              <w:spacing w:after="0"/>
              <w:jc w:val="both"/>
              <w:outlineLvl w:val="0"/>
              <w:rPr>
                <w:u w:val="single"/>
                <w:lang w:val="nl-BE"/>
              </w:rPr>
            </w:pPr>
            <w:r w:rsidRPr="007805CF">
              <w:rPr>
                <w:u w:val="single"/>
                <w:lang w:val="nl-BE"/>
              </w:rPr>
              <w:t>Verantwoordelijke arts:</w:t>
            </w:r>
          </w:p>
          <w:p w14:paraId="1579BAA7" w14:textId="44E5CDFE" w:rsidR="00527AC4" w:rsidRPr="007805CF" w:rsidRDefault="00527AC4" w:rsidP="002D740B">
            <w:pPr>
              <w:spacing w:after="0"/>
              <w:jc w:val="both"/>
              <w:outlineLvl w:val="0"/>
              <w:rPr>
                <w:lang w:val="nl-BE"/>
              </w:rPr>
            </w:pPr>
            <w:r w:rsidRPr="007805CF">
              <w:rPr>
                <w:lang w:val="nl-BE"/>
              </w:rPr>
              <w:t>Dr Jo Van der Veken</w:t>
            </w:r>
          </w:p>
          <w:p w14:paraId="79FA52A9" w14:textId="77777777" w:rsidR="00527AC4" w:rsidRPr="007805CF" w:rsidRDefault="00527AC4" w:rsidP="002D740B">
            <w:pPr>
              <w:spacing w:after="0"/>
              <w:jc w:val="both"/>
              <w:outlineLvl w:val="0"/>
              <w:rPr>
                <w:lang w:val="nl-BE"/>
              </w:rPr>
            </w:pPr>
            <w:r w:rsidRPr="007805CF">
              <w:rPr>
                <w:lang w:val="nl-BE"/>
              </w:rPr>
              <w:t>Telecomlaan 5-7</w:t>
            </w:r>
          </w:p>
          <w:p w14:paraId="13420DDD" w14:textId="77777777" w:rsidR="00527AC4" w:rsidRPr="007805CF" w:rsidRDefault="00527AC4" w:rsidP="002D740B">
            <w:pPr>
              <w:spacing w:after="0"/>
              <w:jc w:val="both"/>
              <w:outlineLvl w:val="0"/>
              <w:rPr>
                <w:lang w:val="nl-BE"/>
              </w:rPr>
            </w:pPr>
            <w:r w:rsidRPr="007805CF">
              <w:rPr>
                <w:lang w:val="nl-BE"/>
              </w:rPr>
              <w:t xml:space="preserve">1831 Diegem </w:t>
            </w:r>
          </w:p>
          <w:p w14:paraId="681AA37C" w14:textId="77777777" w:rsidR="00527AC4" w:rsidRPr="007805CF" w:rsidRDefault="00527AC4" w:rsidP="002D740B">
            <w:pPr>
              <w:spacing w:after="0"/>
              <w:jc w:val="both"/>
              <w:outlineLvl w:val="0"/>
              <w:rPr>
                <w:sz w:val="16"/>
                <w:szCs w:val="16"/>
                <w:lang w:val="nl-BE"/>
              </w:rPr>
            </w:pPr>
          </w:p>
          <w:p w14:paraId="60FEC1D5" w14:textId="0F65AF4D" w:rsidR="00527AC4" w:rsidRPr="007805CF" w:rsidRDefault="006D713D" w:rsidP="002D740B">
            <w:pPr>
              <w:spacing w:after="0"/>
              <w:jc w:val="both"/>
              <w:outlineLvl w:val="0"/>
              <w:rPr>
                <w:u w:val="single"/>
                <w:lang w:val="nl-BE"/>
              </w:rPr>
            </w:pPr>
            <w:r w:rsidRPr="007805CF">
              <w:rPr>
                <w:u w:val="single"/>
                <w:lang w:val="nl-BE"/>
              </w:rPr>
              <w:t>Contactpersoon voor dit programma:</w:t>
            </w:r>
          </w:p>
          <w:p w14:paraId="285EF6E6" w14:textId="77777777" w:rsidR="00527AC4" w:rsidRPr="007805CF" w:rsidRDefault="00527AC4" w:rsidP="002D740B">
            <w:pPr>
              <w:spacing w:after="0"/>
              <w:jc w:val="both"/>
              <w:outlineLvl w:val="0"/>
              <w:rPr>
                <w:lang w:val="nl-BE"/>
              </w:rPr>
            </w:pPr>
            <w:r w:rsidRPr="007805CF">
              <w:rPr>
                <w:lang w:val="nl-BE"/>
              </w:rPr>
              <w:t>Dr Anke Van den broeck</w:t>
            </w:r>
          </w:p>
          <w:p w14:paraId="5E32AC52" w14:textId="77777777" w:rsidR="00527AC4" w:rsidRPr="007805CF" w:rsidRDefault="00527AC4" w:rsidP="002D740B">
            <w:pPr>
              <w:spacing w:after="0"/>
              <w:jc w:val="both"/>
              <w:outlineLvl w:val="0"/>
              <w:rPr>
                <w:lang w:val="nl-BE"/>
              </w:rPr>
            </w:pPr>
            <w:r w:rsidRPr="007805CF">
              <w:rPr>
                <w:lang w:val="nl-BE"/>
              </w:rPr>
              <w:t>Telecomlaan 5-7</w:t>
            </w:r>
          </w:p>
          <w:p w14:paraId="5909ACAA" w14:textId="77777777" w:rsidR="00527AC4" w:rsidRPr="007805CF" w:rsidRDefault="00527AC4" w:rsidP="002D740B">
            <w:pPr>
              <w:spacing w:after="0"/>
              <w:jc w:val="both"/>
              <w:outlineLvl w:val="0"/>
              <w:rPr>
                <w:lang w:val="nl-BE"/>
              </w:rPr>
            </w:pPr>
            <w:r w:rsidRPr="007805CF">
              <w:rPr>
                <w:lang w:val="nl-BE"/>
              </w:rPr>
              <w:t>1831 Diegem</w:t>
            </w:r>
          </w:p>
          <w:p w14:paraId="6331DEA8" w14:textId="77777777" w:rsidR="00527AC4" w:rsidRPr="007805CF" w:rsidRDefault="00527AC4" w:rsidP="002D740B">
            <w:pPr>
              <w:spacing w:after="0"/>
              <w:jc w:val="both"/>
              <w:outlineLvl w:val="0"/>
              <w:rPr>
                <w:lang w:val="nl-BE"/>
              </w:rPr>
            </w:pPr>
            <w:r w:rsidRPr="007805CF">
              <w:rPr>
                <w:lang w:val="nl-BE"/>
              </w:rPr>
              <w:t>Tel: +32 2 775 27 81</w:t>
            </w:r>
          </w:p>
          <w:p w14:paraId="34D8802E" w14:textId="0B37B843" w:rsidR="00527AC4" w:rsidRPr="007805CF" w:rsidRDefault="00527AC4" w:rsidP="002D740B">
            <w:pPr>
              <w:spacing w:after="0"/>
              <w:outlineLvl w:val="0"/>
              <w:rPr>
                <w:lang w:val="nl-BE"/>
              </w:rPr>
            </w:pPr>
            <w:r w:rsidRPr="007805CF">
              <w:rPr>
                <w:lang w:val="nl-BE"/>
              </w:rPr>
              <w:t>Email: anke.van.den.broeck@amgen.com</w:t>
            </w:r>
          </w:p>
        </w:tc>
      </w:tr>
      <w:tr w:rsidR="00527AC4" w:rsidRPr="000C5B86" w14:paraId="096B118E" w14:textId="77777777" w:rsidTr="009A25FC">
        <w:trPr>
          <w:trHeight w:val="851"/>
        </w:trPr>
        <w:tc>
          <w:tcPr>
            <w:tcW w:w="2836" w:type="dxa"/>
            <w:vAlign w:val="center"/>
          </w:tcPr>
          <w:p w14:paraId="3368FF9F" w14:textId="77777777" w:rsidR="00527AC4" w:rsidRPr="007805CF" w:rsidRDefault="00527AC4" w:rsidP="00527AC4">
            <w:pPr>
              <w:keepNext/>
              <w:keepLines/>
              <w:spacing w:after="0" w:line="240" w:lineRule="auto"/>
              <w:outlineLvl w:val="0"/>
              <w:rPr>
                <w:lang w:val="nl-BE"/>
              </w:rPr>
            </w:pPr>
            <w:r w:rsidRPr="007805CF">
              <w:rPr>
                <w:lang w:val="nl-BE"/>
              </w:rPr>
              <w:lastRenderedPageBreak/>
              <w:t>Modaliteiten voor de behandeling van niet-gebruikt geneesmiddel</w:t>
            </w:r>
          </w:p>
        </w:tc>
        <w:tc>
          <w:tcPr>
            <w:tcW w:w="7371" w:type="dxa"/>
            <w:vAlign w:val="center"/>
          </w:tcPr>
          <w:p w14:paraId="5E23406A" w14:textId="60BCF62F" w:rsidR="00527AC4" w:rsidRPr="007805CF" w:rsidRDefault="00527AC4" w:rsidP="00527AC4">
            <w:pPr>
              <w:keepNext/>
              <w:keepLines/>
              <w:spacing w:after="0"/>
              <w:outlineLvl w:val="0"/>
              <w:rPr>
                <w:rFonts w:cs="Arial"/>
                <w:highlight w:val="yellow"/>
                <w:lang w:val="nl-BE"/>
              </w:rPr>
            </w:pPr>
            <w:r w:rsidRPr="007805CF">
              <w:rPr>
                <w:rFonts w:cs="Arial"/>
                <w:lang w:val="nl-BE"/>
              </w:rPr>
              <w:t xml:space="preserve">Al het ongebruikt medicijn dient zo snel mogelijk teruggestuurd te worden naar Amgen of vernietigd te worden door een geschikte faciliteit na het stoppen van de patiënt in het </w:t>
            </w:r>
            <w:r w:rsidR="006D713D" w:rsidRPr="007805CF">
              <w:rPr>
                <w:rFonts w:cs="Arial"/>
                <w:lang w:val="nl-BE"/>
              </w:rPr>
              <w:t xml:space="preserve">compassionate use </w:t>
            </w:r>
            <w:r w:rsidRPr="007805CF">
              <w:rPr>
                <w:rFonts w:cs="Arial"/>
                <w:lang w:val="nl-BE"/>
              </w:rPr>
              <w:t>programma. De medicatie die wordt geleverd voor een individueel patiëntverzoek in het kader van het compassionate use programma kan alleen voor de betreffende patiënt worden gebruikt.</w:t>
            </w:r>
          </w:p>
        </w:tc>
      </w:tr>
      <w:tr w:rsidR="006D713D" w:rsidRPr="000C5B86" w14:paraId="69215AB8" w14:textId="77777777" w:rsidTr="009A25FC">
        <w:trPr>
          <w:trHeight w:val="851"/>
        </w:trPr>
        <w:tc>
          <w:tcPr>
            <w:tcW w:w="2836" w:type="dxa"/>
            <w:vAlign w:val="center"/>
          </w:tcPr>
          <w:p w14:paraId="6B8D2F67" w14:textId="53ADE1C7" w:rsidR="006D713D" w:rsidRPr="007805CF" w:rsidRDefault="006D713D" w:rsidP="006D713D">
            <w:pPr>
              <w:keepNext/>
              <w:keepLines/>
              <w:spacing w:after="0" w:line="240" w:lineRule="auto"/>
              <w:outlineLvl w:val="0"/>
              <w:rPr>
                <w:rFonts w:ascii="Verdana" w:eastAsia="Times New Roman" w:hAnsi="Verdana"/>
                <w:b/>
                <w:bCs/>
                <w:sz w:val="20"/>
                <w:szCs w:val="20"/>
                <w:lang w:val="nl-BE"/>
              </w:rPr>
            </w:pPr>
            <w:r w:rsidRPr="007805CF">
              <w:rPr>
                <w:lang w:val="nl-BE"/>
              </w:rPr>
              <w:t xml:space="preserve">Gegevens voor de registratie van vermoedens van onverwachte </w:t>
            </w:r>
            <w:r w:rsidR="00196688">
              <w:rPr>
                <w:lang w:val="nl-BE"/>
              </w:rPr>
              <w:t xml:space="preserve">ernstige </w:t>
            </w:r>
            <w:r w:rsidRPr="007805CF">
              <w:rPr>
                <w:lang w:val="nl-BE"/>
              </w:rPr>
              <w:t>bijwerkingen</w:t>
            </w:r>
          </w:p>
        </w:tc>
        <w:tc>
          <w:tcPr>
            <w:tcW w:w="7371" w:type="dxa"/>
            <w:vAlign w:val="center"/>
          </w:tcPr>
          <w:p w14:paraId="550A08CF" w14:textId="1CA944A9" w:rsidR="003D31BE" w:rsidRPr="007805CF" w:rsidRDefault="003D31BE" w:rsidP="006D713D">
            <w:pPr>
              <w:spacing w:after="0"/>
              <w:jc w:val="both"/>
              <w:rPr>
                <w:rFonts w:cs="Arial"/>
                <w:lang w:val="nl-BE"/>
              </w:rPr>
            </w:pPr>
            <w:r w:rsidRPr="007805CF">
              <w:rPr>
                <w:rFonts w:cs="Arial"/>
                <w:lang w:val="nl-BE"/>
              </w:rPr>
              <w:t xml:space="preserve">Artsen worden verzocht alle </w:t>
            </w:r>
            <w:r w:rsidR="00196688" w:rsidRPr="00196688">
              <w:rPr>
                <w:rFonts w:cs="Arial"/>
                <w:lang w:val="nl-BE"/>
              </w:rPr>
              <w:t xml:space="preserve">ongewenste voorvallen </w:t>
            </w:r>
            <w:r w:rsidRPr="007805CF">
              <w:rPr>
                <w:rFonts w:cs="Arial"/>
                <w:lang w:val="nl-BE"/>
              </w:rPr>
              <w:t>(niet ernstig en ernstig) en andere veiligheidsbevindingen te melden door OF een ingevuld, ondertekend en gedateerd veiligheidsrapportformulier te faxen naar Amgen - Belgis</w:t>
            </w:r>
            <w:r w:rsidR="004E3FAE" w:rsidRPr="007805CF">
              <w:rPr>
                <w:rFonts w:cs="Arial"/>
                <w:lang w:val="nl-BE"/>
              </w:rPr>
              <w:t xml:space="preserve">che </w:t>
            </w:r>
            <w:r w:rsidR="00196688">
              <w:rPr>
                <w:rFonts w:cs="Arial"/>
                <w:lang w:val="nl-BE"/>
              </w:rPr>
              <w:t>d</w:t>
            </w:r>
            <w:r w:rsidR="00196688" w:rsidRPr="00196688">
              <w:rPr>
                <w:rFonts w:cs="Arial"/>
                <w:lang w:val="nl-BE"/>
              </w:rPr>
              <w:t xml:space="preserve">ienst voor geneesmiddelenbewaking </w:t>
            </w:r>
            <w:r w:rsidR="004E3FAE" w:rsidRPr="007805CF">
              <w:rPr>
                <w:rFonts w:cs="Arial"/>
                <w:lang w:val="nl-BE"/>
              </w:rPr>
              <w:t>(</w:t>
            </w:r>
            <w:r w:rsidRPr="007805CF">
              <w:rPr>
                <w:rFonts w:cs="Arial"/>
                <w:lang w:val="nl-BE"/>
              </w:rPr>
              <w:t>fax nr: 0800</w:t>
            </w:r>
            <w:r w:rsidR="004E3FAE" w:rsidRPr="007805CF">
              <w:rPr>
                <w:rFonts w:cs="Arial"/>
                <w:lang w:val="nl-BE"/>
              </w:rPr>
              <w:t xml:space="preserve"> 80 877) binnen één werk</w:t>
            </w:r>
            <w:r w:rsidRPr="007805CF">
              <w:rPr>
                <w:rFonts w:cs="Arial"/>
                <w:lang w:val="nl-BE"/>
              </w:rPr>
              <w:t xml:space="preserve">dag OF een ingevuld, ondertekend en gedateerd veiligheidsrapportformulier </w:t>
            </w:r>
            <w:r w:rsidR="004E3FAE" w:rsidRPr="007805CF">
              <w:rPr>
                <w:rFonts w:cs="Arial"/>
                <w:lang w:val="nl-BE"/>
              </w:rPr>
              <w:t>te versturen per</w:t>
            </w:r>
            <w:r w:rsidRPr="007805CF">
              <w:rPr>
                <w:rFonts w:cs="Arial"/>
                <w:lang w:val="nl-BE"/>
              </w:rPr>
              <w:t xml:space="preserve"> e-mail</w:t>
            </w:r>
            <w:r w:rsidR="004E3FAE" w:rsidRPr="007805CF">
              <w:rPr>
                <w:rFonts w:cs="Arial"/>
                <w:lang w:val="nl-BE"/>
              </w:rPr>
              <w:t xml:space="preserve"> naar</w:t>
            </w:r>
            <w:r w:rsidRPr="007805CF">
              <w:rPr>
                <w:rFonts w:cs="Arial"/>
                <w:lang w:val="nl-BE"/>
              </w:rPr>
              <w:t xml:space="preserve"> </w:t>
            </w:r>
            <w:hyperlink r:id="rId14" w:history="1">
              <w:r w:rsidR="004E3FAE" w:rsidRPr="007805CF">
                <w:rPr>
                  <w:rStyle w:val="Hyperlink"/>
                  <w:rFonts w:cs="Arial"/>
                  <w:lang w:val="nl-BE"/>
                </w:rPr>
                <w:t>svc-ags-in-be@amgen.com</w:t>
              </w:r>
            </w:hyperlink>
            <w:r w:rsidR="004E3FAE" w:rsidRPr="007805CF">
              <w:rPr>
                <w:rFonts w:cs="Arial"/>
                <w:lang w:val="nl-BE"/>
              </w:rPr>
              <w:t xml:space="preserve"> </w:t>
            </w:r>
            <w:r w:rsidRPr="007805CF">
              <w:rPr>
                <w:rFonts w:cs="Arial"/>
                <w:lang w:val="nl-BE"/>
              </w:rPr>
              <w:t xml:space="preserve">binnen één werkdag. De arts kan worden gevraagd om </w:t>
            </w:r>
            <w:r w:rsidR="004E3FAE" w:rsidRPr="007805CF">
              <w:rPr>
                <w:rFonts w:cs="Arial"/>
                <w:lang w:val="nl-BE"/>
              </w:rPr>
              <w:t xml:space="preserve">bijkomende </w:t>
            </w:r>
            <w:r w:rsidRPr="007805CF">
              <w:rPr>
                <w:rFonts w:cs="Arial"/>
                <w:lang w:val="nl-BE"/>
              </w:rPr>
              <w:t>informatie te geven over de gemelde gebeurtenis.</w:t>
            </w:r>
          </w:p>
          <w:p w14:paraId="21B545DF" w14:textId="77777777" w:rsidR="006D713D" w:rsidRPr="007805CF" w:rsidRDefault="006D713D" w:rsidP="006D713D">
            <w:pPr>
              <w:spacing w:after="0"/>
              <w:jc w:val="both"/>
              <w:rPr>
                <w:rFonts w:cs="Arial"/>
                <w:highlight w:val="yellow"/>
                <w:lang w:val="nl-BE"/>
              </w:rPr>
            </w:pPr>
          </w:p>
          <w:p w14:paraId="1E9206CB" w14:textId="365C9BFD" w:rsidR="006D713D" w:rsidRPr="007805CF" w:rsidRDefault="00BC5C09" w:rsidP="00BC5C09">
            <w:pPr>
              <w:spacing w:after="0"/>
              <w:jc w:val="both"/>
              <w:rPr>
                <w:rFonts w:cs="Arial"/>
                <w:lang w:val="nl-BE"/>
              </w:rPr>
            </w:pPr>
            <w:r w:rsidRPr="007805CF">
              <w:rPr>
                <w:rFonts w:cs="Arial"/>
                <w:lang w:val="nl-BE"/>
              </w:rPr>
              <w:t xml:space="preserve">In het geval van een </w:t>
            </w:r>
            <w:r w:rsidR="00196688" w:rsidRPr="00196688">
              <w:rPr>
                <w:rFonts w:cs="Arial"/>
                <w:lang w:val="nl-BE"/>
              </w:rPr>
              <w:t>ongewenst voorval</w:t>
            </w:r>
            <w:r w:rsidRPr="007805CF">
              <w:rPr>
                <w:rFonts w:cs="Arial"/>
                <w:lang w:val="nl-BE"/>
              </w:rPr>
              <w:t xml:space="preserve">, </w:t>
            </w:r>
            <w:r w:rsidR="004E3FAE" w:rsidRPr="007805CF">
              <w:rPr>
                <w:rFonts w:cs="Arial"/>
                <w:lang w:val="nl-BE"/>
              </w:rPr>
              <w:t>dient</w:t>
            </w:r>
            <w:r w:rsidRPr="007805CF">
              <w:rPr>
                <w:rFonts w:cs="Arial"/>
                <w:lang w:val="nl-BE"/>
              </w:rPr>
              <w:t xml:space="preserve"> de behandelend arts </w:t>
            </w:r>
            <w:r w:rsidR="004E3FAE" w:rsidRPr="007805CF">
              <w:rPr>
                <w:rFonts w:cs="Arial"/>
                <w:lang w:val="nl-BE"/>
              </w:rPr>
              <w:t xml:space="preserve">te </w:t>
            </w:r>
            <w:r w:rsidRPr="007805CF">
              <w:rPr>
                <w:rFonts w:cs="Arial"/>
                <w:lang w:val="nl-BE"/>
              </w:rPr>
              <w:t>beslissen of de behandeling met blinatumomab wordt voortgezet en welke maatregelen dienen te worden genomen.</w:t>
            </w:r>
          </w:p>
          <w:p w14:paraId="0F616996" w14:textId="77777777" w:rsidR="00BC5C09" w:rsidRPr="007805CF" w:rsidRDefault="00BC5C09" w:rsidP="00BC5C09">
            <w:pPr>
              <w:spacing w:after="0"/>
              <w:jc w:val="both"/>
              <w:rPr>
                <w:rFonts w:cs="Arial"/>
                <w:lang w:val="nl-BE"/>
              </w:rPr>
            </w:pPr>
          </w:p>
          <w:p w14:paraId="0DEFC466" w14:textId="77777777" w:rsidR="006D713D" w:rsidRPr="007805CF" w:rsidRDefault="006D713D" w:rsidP="006D713D">
            <w:pPr>
              <w:suppressLineNumbers/>
              <w:spacing w:after="0"/>
              <w:outlineLvl w:val="0"/>
              <w:rPr>
                <w:rFonts w:cs="Arial"/>
                <w:lang w:val="nl-BE"/>
              </w:rPr>
            </w:pPr>
            <w:r w:rsidRPr="007805CF">
              <w:rPr>
                <w:rFonts w:cs="Arial"/>
                <w:lang w:val="nl-BE"/>
              </w:rPr>
              <w:t>De ernstigste bijwerkingen die zich tijdens de behandeling met blinatumomab kunnen voordoen zijn onder andere: infecties (24,8%), neurologische voorvallen (13,8%), neutropenie/febriele neutropenie (10,1%), cytokineafgiftesyndroom (3,3%) en tumorlysissyndroom (0,7%).</w:t>
            </w:r>
          </w:p>
          <w:p w14:paraId="424E3B78" w14:textId="77777777" w:rsidR="006D713D" w:rsidRPr="007805CF" w:rsidRDefault="006D713D" w:rsidP="006D713D">
            <w:pPr>
              <w:suppressLineNumbers/>
              <w:spacing w:after="0"/>
              <w:outlineLvl w:val="0"/>
              <w:rPr>
                <w:rFonts w:cs="Arial"/>
                <w:lang w:val="nl-BE"/>
              </w:rPr>
            </w:pPr>
          </w:p>
          <w:p w14:paraId="226072D0" w14:textId="4E4C5032" w:rsidR="006D713D" w:rsidRPr="007805CF" w:rsidRDefault="006D713D" w:rsidP="006D713D">
            <w:pPr>
              <w:keepNext/>
              <w:keepLines/>
              <w:spacing w:after="0"/>
              <w:outlineLvl w:val="0"/>
              <w:rPr>
                <w:rFonts w:ascii="Verdana" w:eastAsia="Times New Roman" w:hAnsi="Verdana"/>
                <w:bCs/>
                <w:sz w:val="20"/>
                <w:szCs w:val="20"/>
                <w:lang w:val="nl-BE"/>
              </w:rPr>
            </w:pPr>
            <w:r w:rsidRPr="007805CF">
              <w:rPr>
                <w:rFonts w:cs="Arial"/>
                <w:lang w:val="nl-BE"/>
              </w:rPr>
              <w:t>De meest voorkomende bijwerkingen waren: pyrexie (69,2%), infusiegerelateerde reacties (43,4%), infecties – pathogenen niet gespecificeerd (42,1%), hoofdpijn (32,9%), anemie (22,8%), trombocytopenie (20,9%), febriele neutropenie (20,2%), oedeem (20,0%), neutropenie (19,7%), uitslag (16,7%), verhoogde leverenzymwaarden (16,1%), bacteriële infectieziekten (15,4%), tremor (15,2%), hoest (15,1%), leukopenie (13,4%), rugpijn (13,3%), koude rillingen (13,0%), hypotensie (12,8%), virale infectieziekten (12,7%), verlaagde immunoglobulinen (12,5%), cytokineafgiftesyndroom (11,6%), tachycardie (11,3%), slapeloosheid (10,7%), schimmelinfecties (10,6%) en pijn in een extremiteit (10,2%).</w:t>
            </w:r>
          </w:p>
        </w:tc>
      </w:tr>
    </w:tbl>
    <w:p w14:paraId="40C1F142" w14:textId="77777777" w:rsidR="005170EF" w:rsidRPr="006D713D" w:rsidRDefault="005170EF" w:rsidP="00316445">
      <w:pPr>
        <w:spacing w:after="0"/>
        <w:rPr>
          <w:lang w:val="nl-BE"/>
        </w:rPr>
      </w:pPr>
    </w:p>
    <w:sectPr w:rsidR="005170EF" w:rsidRPr="006D713D" w:rsidSect="008540C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79374" w14:textId="77777777" w:rsidR="00913832" w:rsidRDefault="00913832" w:rsidP="008A7AB3">
      <w:pPr>
        <w:spacing w:after="0" w:line="240" w:lineRule="auto"/>
      </w:pPr>
      <w:r>
        <w:separator/>
      </w:r>
    </w:p>
  </w:endnote>
  <w:endnote w:type="continuationSeparator" w:id="0">
    <w:p w14:paraId="1AD53E92" w14:textId="77777777" w:rsidR="00913832" w:rsidRDefault="00913832" w:rsidP="008A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969E" w14:textId="2525C388" w:rsidR="003823DB" w:rsidRPr="00C14714" w:rsidRDefault="003823DB">
    <w:pPr>
      <w:pStyle w:val="Footer"/>
    </w:pPr>
    <w:r w:rsidRPr="00C14714">
      <w:t>UMN request : information to be made public</w:t>
    </w:r>
    <w:r>
      <w:tab/>
    </w:r>
    <w:r>
      <w:tab/>
      <w:t xml:space="preserve">Page </w:t>
    </w:r>
    <w:r w:rsidRPr="00C14714">
      <w:fldChar w:fldCharType="begin"/>
    </w:r>
    <w:r w:rsidRPr="00C14714">
      <w:instrText xml:space="preserve"> PAGE   \* MERGEFORMAT </w:instrText>
    </w:r>
    <w:r w:rsidRPr="00C14714">
      <w:fldChar w:fldCharType="separate"/>
    </w:r>
    <w:r w:rsidR="00775856">
      <w:rPr>
        <w:noProof/>
      </w:rPr>
      <w:t>7</w:t>
    </w:r>
    <w:r w:rsidRPr="00C14714">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B495D" w14:textId="77777777" w:rsidR="00913832" w:rsidRDefault="00913832" w:rsidP="008A7AB3">
      <w:pPr>
        <w:spacing w:after="0" w:line="240" w:lineRule="auto"/>
      </w:pPr>
      <w:r>
        <w:separator/>
      </w:r>
    </w:p>
  </w:footnote>
  <w:footnote w:type="continuationSeparator" w:id="0">
    <w:p w14:paraId="771302B3" w14:textId="77777777" w:rsidR="00913832" w:rsidRDefault="00913832" w:rsidP="008A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C08F" w14:textId="77777777" w:rsidR="003823DB" w:rsidRDefault="003823DB">
    <w:pPr>
      <w:pStyle w:val="Header"/>
    </w:pPr>
    <w:r w:rsidRPr="004741EE">
      <w:rPr>
        <w:noProof/>
        <w:lang w:val="nl-BE" w:eastAsia="nl-BE"/>
      </w:rPr>
      <w:drawing>
        <wp:inline distT="0" distB="0" distL="0" distR="0" wp14:anchorId="67572CF1" wp14:editId="1663F4E4">
          <wp:extent cx="1747520" cy="649705"/>
          <wp:effectExtent l="1905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50933" cy="65097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078"/>
    <w:multiLevelType w:val="hybridMultilevel"/>
    <w:tmpl w:val="CDFE1B16"/>
    <w:lvl w:ilvl="0" w:tplc="7FF087E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A7EB4"/>
    <w:multiLevelType w:val="hybridMultilevel"/>
    <w:tmpl w:val="CDFE1B16"/>
    <w:lvl w:ilvl="0" w:tplc="7FF087E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2FFE"/>
    <w:multiLevelType w:val="hybridMultilevel"/>
    <w:tmpl w:val="C5525ECA"/>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94CBB"/>
    <w:multiLevelType w:val="hybridMultilevel"/>
    <w:tmpl w:val="5C28B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E07127"/>
    <w:multiLevelType w:val="hybridMultilevel"/>
    <w:tmpl w:val="CDFE1B16"/>
    <w:lvl w:ilvl="0" w:tplc="7FF087E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D4305"/>
    <w:multiLevelType w:val="hybridMultilevel"/>
    <w:tmpl w:val="CDFE1B16"/>
    <w:lvl w:ilvl="0" w:tplc="7FF087E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57B96"/>
    <w:multiLevelType w:val="hybridMultilevel"/>
    <w:tmpl w:val="6AC4825E"/>
    <w:lvl w:ilvl="0" w:tplc="719CE172">
      <w:numFmt w:val="bullet"/>
      <w:lvlText w:val="•"/>
      <w:lvlJc w:val="left"/>
      <w:pPr>
        <w:ind w:left="720" w:hanging="360"/>
      </w:pPr>
      <w:rPr>
        <w:rFonts w:ascii="Calibri" w:eastAsiaTheme="minorEastAsia"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784B3C"/>
    <w:multiLevelType w:val="hybridMultilevel"/>
    <w:tmpl w:val="CDFE1B16"/>
    <w:lvl w:ilvl="0" w:tplc="7FF087E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24F48"/>
    <w:multiLevelType w:val="hybridMultilevel"/>
    <w:tmpl w:val="8AAC7AB8"/>
    <w:lvl w:ilvl="0" w:tplc="719CE172">
      <w:numFmt w:val="bullet"/>
      <w:lvlText w:val="•"/>
      <w:lvlJc w:val="left"/>
      <w:pPr>
        <w:ind w:left="720" w:hanging="360"/>
      </w:pPr>
      <w:rPr>
        <w:rFonts w:ascii="Calibri" w:eastAsiaTheme="minorEastAsia"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033D2B"/>
    <w:multiLevelType w:val="hybridMultilevel"/>
    <w:tmpl w:val="CDFE1B16"/>
    <w:lvl w:ilvl="0" w:tplc="7FF087E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F3863"/>
    <w:multiLevelType w:val="hybridMultilevel"/>
    <w:tmpl w:val="C6E6E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C1CA4"/>
    <w:multiLevelType w:val="hybridMultilevel"/>
    <w:tmpl w:val="9D4E47C2"/>
    <w:lvl w:ilvl="0" w:tplc="442474F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43727"/>
    <w:multiLevelType w:val="hybridMultilevel"/>
    <w:tmpl w:val="1B04F0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61466D"/>
    <w:multiLevelType w:val="hybridMultilevel"/>
    <w:tmpl w:val="49107D3A"/>
    <w:lvl w:ilvl="0" w:tplc="7FF087E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610C9"/>
    <w:multiLevelType w:val="hybridMultilevel"/>
    <w:tmpl w:val="62BEA5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4BF3A8E"/>
    <w:multiLevelType w:val="hybridMultilevel"/>
    <w:tmpl w:val="CDFE1B16"/>
    <w:lvl w:ilvl="0" w:tplc="7FF087E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31EFE"/>
    <w:multiLevelType w:val="hybridMultilevel"/>
    <w:tmpl w:val="54DE4284"/>
    <w:lvl w:ilvl="0" w:tplc="442474F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4083C"/>
    <w:multiLevelType w:val="hybridMultilevel"/>
    <w:tmpl w:val="3DE86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B0E3A"/>
    <w:multiLevelType w:val="hybridMultilevel"/>
    <w:tmpl w:val="6FEE7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A2ACC"/>
    <w:multiLevelType w:val="hybridMultilevel"/>
    <w:tmpl w:val="CDFE1B16"/>
    <w:lvl w:ilvl="0" w:tplc="7FF087E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80B24"/>
    <w:multiLevelType w:val="hybridMultilevel"/>
    <w:tmpl w:val="D28CCA8A"/>
    <w:lvl w:ilvl="0" w:tplc="2A72AD82">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97924"/>
    <w:multiLevelType w:val="hybridMultilevel"/>
    <w:tmpl w:val="5A665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F05E0F"/>
    <w:multiLevelType w:val="hybridMultilevel"/>
    <w:tmpl w:val="7A324D36"/>
    <w:lvl w:ilvl="0" w:tplc="036A3E04">
      <w:start w:val="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50315A"/>
    <w:multiLevelType w:val="hybridMultilevel"/>
    <w:tmpl w:val="6FEE7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542AD0"/>
    <w:multiLevelType w:val="hybridMultilevel"/>
    <w:tmpl w:val="F76A27A8"/>
    <w:lvl w:ilvl="0" w:tplc="442474F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0036D"/>
    <w:multiLevelType w:val="hybridMultilevel"/>
    <w:tmpl w:val="6998741A"/>
    <w:lvl w:ilvl="0" w:tplc="036A3E04">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C4AB7"/>
    <w:multiLevelType w:val="hybridMultilevel"/>
    <w:tmpl w:val="7BBEA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98322D"/>
    <w:multiLevelType w:val="hybridMultilevel"/>
    <w:tmpl w:val="54DE4284"/>
    <w:lvl w:ilvl="0" w:tplc="442474F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D1337"/>
    <w:multiLevelType w:val="hybridMultilevel"/>
    <w:tmpl w:val="CB78611C"/>
    <w:lvl w:ilvl="0" w:tplc="2A3EE27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DED4E5F"/>
    <w:multiLevelType w:val="hybridMultilevel"/>
    <w:tmpl w:val="6FEE7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25"/>
  </w:num>
  <w:num w:numId="4">
    <w:abstractNumId w:val="17"/>
  </w:num>
  <w:num w:numId="5">
    <w:abstractNumId w:val="2"/>
  </w:num>
  <w:num w:numId="6">
    <w:abstractNumId w:val="10"/>
  </w:num>
  <w:num w:numId="7">
    <w:abstractNumId w:val="16"/>
  </w:num>
  <w:num w:numId="8">
    <w:abstractNumId w:val="28"/>
  </w:num>
  <w:num w:numId="9">
    <w:abstractNumId w:val="22"/>
  </w:num>
  <w:num w:numId="10">
    <w:abstractNumId w:val="26"/>
  </w:num>
  <w:num w:numId="11">
    <w:abstractNumId w:val="21"/>
  </w:num>
  <w:num w:numId="12">
    <w:abstractNumId w:val="1"/>
  </w:num>
  <w:num w:numId="13">
    <w:abstractNumId w:val="29"/>
  </w:num>
  <w:num w:numId="14">
    <w:abstractNumId w:val="3"/>
  </w:num>
  <w:num w:numId="15">
    <w:abstractNumId w:val="24"/>
  </w:num>
  <w:num w:numId="16">
    <w:abstractNumId w:val="0"/>
  </w:num>
  <w:num w:numId="17">
    <w:abstractNumId w:val="18"/>
  </w:num>
  <w:num w:numId="18">
    <w:abstractNumId w:val="27"/>
  </w:num>
  <w:num w:numId="19">
    <w:abstractNumId w:val="9"/>
  </w:num>
  <w:num w:numId="20">
    <w:abstractNumId w:val="23"/>
  </w:num>
  <w:num w:numId="21">
    <w:abstractNumId w:val="5"/>
  </w:num>
  <w:num w:numId="22">
    <w:abstractNumId w:val="14"/>
  </w:num>
  <w:num w:numId="23">
    <w:abstractNumId w:val="6"/>
  </w:num>
  <w:num w:numId="24">
    <w:abstractNumId w:val="8"/>
  </w:num>
  <w:num w:numId="25">
    <w:abstractNumId w:val="19"/>
  </w:num>
  <w:num w:numId="26">
    <w:abstractNumId w:val="7"/>
  </w:num>
  <w:num w:numId="27">
    <w:abstractNumId w:val="15"/>
  </w:num>
  <w:num w:numId="28">
    <w:abstractNumId w:val="11"/>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B3"/>
    <w:rsid w:val="00014813"/>
    <w:rsid w:val="000206B9"/>
    <w:rsid w:val="00023E09"/>
    <w:rsid w:val="00023FE3"/>
    <w:rsid w:val="00034225"/>
    <w:rsid w:val="00035898"/>
    <w:rsid w:val="0005261A"/>
    <w:rsid w:val="00056CB0"/>
    <w:rsid w:val="000622F4"/>
    <w:rsid w:val="000C132A"/>
    <w:rsid w:val="000C1981"/>
    <w:rsid w:val="000C5844"/>
    <w:rsid w:val="000C5B86"/>
    <w:rsid w:val="000E0FC4"/>
    <w:rsid w:val="000E50B5"/>
    <w:rsid w:val="0010151A"/>
    <w:rsid w:val="0010677B"/>
    <w:rsid w:val="0012307B"/>
    <w:rsid w:val="00157532"/>
    <w:rsid w:val="001833CB"/>
    <w:rsid w:val="00187D02"/>
    <w:rsid w:val="00193AFE"/>
    <w:rsid w:val="00196688"/>
    <w:rsid w:val="001A368D"/>
    <w:rsid w:val="001A3E40"/>
    <w:rsid w:val="001B7E13"/>
    <w:rsid w:val="001E0F18"/>
    <w:rsid w:val="001F7B90"/>
    <w:rsid w:val="00211790"/>
    <w:rsid w:val="00236840"/>
    <w:rsid w:val="00256708"/>
    <w:rsid w:val="002725A1"/>
    <w:rsid w:val="002C209B"/>
    <w:rsid w:val="002C47FA"/>
    <w:rsid w:val="002D740B"/>
    <w:rsid w:val="002F40A4"/>
    <w:rsid w:val="00306EC7"/>
    <w:rsid w:val="00316445"/>
    <w:rsid w:val="00321BA1"/>
    <w:rsid w:val="00323874"/>
    <w:rsid w:val="003823DB"/>
    <w:rsid w:val="003918D8"/>
    <w:rsid w:val="003A6444"/>
    <w:rsid w:val="003D31BE"/>
    <w:rsid w:val="003E4B36"/>
    <w:rsid w:val="004366C3"/>
    <w:rsid w:val="00445D3C"/>
    <w:rsid w:val="00447CFD"/>
    <w:rsid w:val="00460BC5"/>
    <w:rsid w:val="00470AC2"/>
    <w:rsid w:val="004741EE"/>
    <w:rsid w:val="00474D3D"/>
    <w:rsid w:val="004800B4"/>
    <w:rsid w:val="00486AEA"/>
    <w:rsid w:val="004C0F8D"/>
    <w:rsid w:val="004C3171"/>
    <w:rsid w:val="004C523B"/>
    <w:rsid w:val="004D6224"/>
    <w:rsid w:val="004E1FAF"/>
    <w:rsid w:val="004E3FAE"/>
    <w:rsid w:val="004F21CB"/>
    <w:rsid w:val="005170EF"/>
    <w:rsid w:val="00520FC4"/>
    <w:rsid w:val="00524FE6"/>
    <w:rsid w:val="00527AC4"/>
    <w:rsid w:val="00533B7C"/>
    <w:rsid w:val="00552F93"/>
    <w:rsid w:val="00572220"/>
    <w:rsid w:val="005955AD"/>
    <w:rsid w:val="005A497D"/>
    <w:rsid w:val="006166FD"/>
    <w:rsid w:val="00624CA9"/>
    <w:rsid w:val="00637CD3"/>
    <w:rsid w:val="006403A2"/>
    <w:rsid w:val="006619D5"/>
    <w:rsid w:val="006903EB"/>
    <w:rsid w:val="006C0101"/>
    <w:rsid w:val="006C5AA1"/>
    <w:rsid w:val="006C74FC"/>
    <w:rsid w:val="006C7C6E"/>
    <w:rsid w:val="006D713D"/>
    <w:rsid w:val="006E3E58"/>
    <w:rsid w:val="006E5DEF"/>
    <w:rsid w:val="006F335C"/>
    <w:rsid w:val="00727F9F"/>
    <w:rsid w:val="00775856"/>
    <w:rsid w:val="007805CF"/>
    <w:rsid w:val="0079263E"/>
    <w:rsid w:val="007A0A3D"/>
    <w:rsid w:val="007A5AC5"/>
    <w:rsid w:val="007B6F46"/>
    <w:rsid w:val="007F6785"/>
    <w:rsid w:val="0082005B"/>
    <w:rsid w:val="00822DB7"/>
    <w:rsid w:val="0082499B"/>
    <w:rsid w:val="008320F1"/>
    <w:rsid w:val="0083676D"/>
    <w:rsid w:val="00845E67"/>
    <w:rsid w:val="008540CA"/>
    <w:rsid w:val="008669C4"/>
    <w:rsid w:val="00875656"/>
    <w:rsid w:val="00884E3B"/>
    <w:rsid w:val="00891A94"/>
    <w:rsid w:val="0089627A"/>
    <w:rsid w:val="0089650A"/>
    <w:rsid w:val="008A3837"/>
    <w:rsid w:val="008A4CA7"/>
    <w:rsid w:val="008A7AB3"/>
    <w:rsid w:val="008D39A5"/>
    <w:rsid w:val="008F7E53"/>
    <w:rsid w:val="00900E04"/>
    <w:rsid w:val="00913832"/>
    <w:rsid w:val="00931F4E"/>
    <w:rsid w:val="00945258"/>
    <w:rsid w:val="00960009"/>
    <w:rsid w:val="009855EB"/>
    <w:rsid w:val="00994551"/>
    <w:rsid w:val="009B360A"/>
    <w:rsid w:val="009D046A"/>
    <w:rsid w:val="009D7F61"/>
    <w:rsid w:val="009E5D1A"/>
    <w:rsid w:val="009F0578"/>
    <w:rsid w:val="009F6848"/>
    <w:rsid w:val="00A23FE3"/>
    <w:rsid w:val="00A40932"/>
    <w:rsid w:val="00A52F6D"/>
    <w:rsid w:val="00A7585C"/>
    <w:rsid w:val="00AA1D62"/>
    <w:rsid w:val="00AC18B7"/>
    <w:rsid w:val="00AF1014"/>
    <w:rsid w:val="00B2231F"/>
    <w:rsid w:val="00B36B8C"/>
    <w:rsid w:val="00B66F2D"/>
    <w:rsid w:val="00B93162"/>
    <w:rsid w:val="00BC5C09"/>
    <w:rsid w:val="00BC68AE"/>
    <w:rsid w:val="00BF3E91"/>
    <w:rsid w:val="00BF6900"/>
    <w:rsid w:val="00C14714"/>
    <w:rsid w:val="00C27C94"/>
    <w:rsid w:val="00C40013"/>
    <w:rsid w:val="00C41B6F"/>
    <w:rsid w:val="00C44839"/>
    <w:rsid w:val="00C6705F"/>
    <w:rsid w:val="00C744BF"/>
    <w:rsid w:val="00C85070"/>
    <w:rsid w:val="00CA14D4"/>
    <w:rsid w:val="00CB4B72"/>
    <w:rsid w:val="00CC120C"/>
    <w:rsid w:val="00CC121B"/>
    <w:rsid w:val="00CE73CD"/>
    <w:rsid w:val="00D15F45"/>
    <w:rsid w:val="00D34492"/>
    <w:rsid w:val="00D3754D"/>
    <w:rsid w:val="00D603F4"/>
    <w:rsid w:val="00D651CE"/>
    <w:rsid w:val="00DA0A1F"/>
    <w:rsid w:val="00DC16CC"/>
    <w:rsid w:val="00DE6D25"/>
    <w:rsid w:val="00DF5B4C"/>
    <w:rsid w:val="00DF758E"/>
    <w:rsid w:val="00E155CA"/>
    <w:rsid w:val="00E249E0"/>
    <w:rsid w:val="00E33ECE"/>
    <w:rsid w:val="00E5027B"/>
    <w:rsid w:val="00E536BD"/>
    <w:rsid w:val="00E55901"/>
    <w:rsid w:val="00E7001D"/>
    <w:rsid w:val="00E776E5"/>
    <w:rsid w:val="00E77B4C"/>
    <w:rsid w:val="00EC6BE2"/>
    <w:rsid w:val="00ED3915"/>
    <w:rsid w:val="00F07EB9"/>
    <w:rsid w:val="00F17064"/>
    <w:rsid w:val="00F17554"/>
    <w:rsid w:val="00F20226"/>
    <w:rsid w:val="00F32068"/>
    <w:rsid w:val="00F46D6E"/>
    <w:rsid w:val="00F623D2"/>
    <w:rsid w:val="00F62F9A"/>
    <w:rsid w:val="00F66784"/>
    <w:rsid w:val="00FA7AA1"/>
    <w:rsid w:val="00FC54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BC034"/>
  <w15:docId w15:val="{7CA29F9E-2CC6-4448-97E8-1FE21C46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AB3"/>
    <w:pPr>
      <w:ind w:left="720"/>
      <w:contextualSpacing/>
    </w:pPr>
  </w:style>
  <w:style w:type="paragraph" w:styleId="FootnoteText">
    <w:name w:val="footnote text"/>
    <w:basedOn w:val="Normal"/>
    <w:link w:val="FootnoteTextChar"/>
    <w:uiPriority w:val="99"/>
    <w:unhideWhenUsed/>
    <w:rsid w:val="008A7AB3"/>
    <w:pPr>
      <w:spacing w:after="0" w:line="240" w:lineRule="auto"/>
    </w:pPr>
    <w:rPr>
      <w:sz w:val="20"/>
      <w:szCs w:val="20"/>
    </w:rPr>
  </w:style>
  <w:style w:type="character" w:customStyle="1" w:styleId="FootnoteTextChar">
    <w:name w:val="Footnote Text Char"/>
    <w:basedOn w:val="DefaultParagraphFont"/>
    <w:link w:val="FootnoteText"/>
    <w:uiPriority w:val="99"/>
    <w:rsid w:val="008A7AB3"/>
    <w:rPr>
      <w:sz w:val="20"/>
      <w:szCs w:val="20"/>
    </w:rPr>
  </w:style>
  <w:style w:type="character" w:styleId="FootnoteReference">
    <w:name w:val="footnote reference"/>
    <w:basedOn w:val="DefaultParagraphFont"/>
    <w:uiPriority w:val="99"/>
    <w:semiHidden/>
    <w:unhideWhenUsed/>
    <w:rsid w:val="008A7AB3"/>
    <w:rPr>
      <w:vertAlign w:val="superscript"/>
    </w:rPr>
  </w:style>
  <w:style w:type="table" w:customStyle="1" w:styleId="Grilledutableau1">
    <w:name w:val="Grille du tableau1"/>
    <w:basedOn w:val="TableNormal"/>
    <w:next w:val="TableGrid"/>
    <w:uiPriority w:val="59"/>
    <w:rsid w:val="008A7AB3"/>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47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4714"/>
  </w:style>
  <w:style w:type="paragraph" w:styleId="Footer">
    <w:name w:val="footer"/>
    <w:basedOn w:val="Normal"/>
    <w:link w:val="FooterChar"/>
    <w:uiPriority w:val="99"/>
    <w:unhideWhenUsed/>
    <w:rsid w:val="00C147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4714"/>
  </w:style>
  <w:style w:type="paragraph" w:styleId="BalloonText">
    <w:name w:val="Balloon Text"/>
    <w:basedOn w:val="Normal"/>
    <w:link w:val="BalloonTextChar"/>
    <w:uiPriority w:val="99"/>
    <w:semiHidden/>
    <w:unhideWhenUsed/>
    <w:rsid w:val="00822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DB7"/>
    <w:rPr>
      <w:rFonts w:ascii="Tahoma" w:hAnsi="Tahoma" w:cs="Tahoma"/>
      <w:sz w:val="16"/>
      <w:szCs w:val="16"/>
    </w:rPr>
  </w:style>
  <w:style w:type="paragraph" w:styleId="NormalWeb">
    <w:name w:val="Normal (Web)"/>
    <w:basedOn w:val="Normal"/>
    <w:uiPriority w:val="99"/>
    <w:semiHidden/>
    <w:unhideWhenUsed/>
    <w:rsid w:val="00F62F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900E04"/>
    <w:rPr>
      <w:color w:val="0000FF"/>
      <w:u w:val="single"/>
    </w:rPr>
  </w:style>
  <w:style w:type="paragraph" w:customStyle="1" w:styleId="Default">
    <w:name w:val="Default"/>
    <w:link w:val="DefaultChar"/>
    <w:rsid w:val="00D3449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locked/>
    <w:rsid w:val="00D34492"/>
    <w:rPr>
      <w:rFonts w:ascii="Arial" w:eastAsia="Times New Roman" w:hAnsi="Arial" w:cs="Arial"/>
      <w:color w:val="000000"/>
      <w:sz w:val="24"/>
      <w:szCs w:val="24"/>
    </w:rPr>
  </w:style>
  <w:style w:type="paragraph" w:styleId="Revision">
    <w:name w:val="Revision"/>
    <w:hidden/>
    <w:uiPriority w:val="99"/>
    <w:semiHidden/>
    <w:rsid w:val="000E0FC4"/>
    <w:pPr>
      <w:spacing w:after="0" w:line="240" w:lineRule="auto"/>
    </w:pPr>
  </w:style>
  <w:style w:type="character" w:styleId="UnresolvedMention">
    <w:name w:val="Unresolved Mention"/>
    <w:basedOn w:val="DefaultParagraphFont"/>
    <w:uiPriority w:val="99"/>
    <w:semiHidden/>
    <w:unhideWhenUsed/>
    <w:rsid w:val="004E3F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451514">
      <w:bodyDiv w:val="1"/>
      <w:marLeft w:val="0"/>
      <w:marRight w:val="0"/>
      <w:marTop w:val="0"/>
      <w:marBottom w:val="0"/>
      <w:divBdr>
        <w:top w:val="none" w:sz="0" w:space="0" w:color="auto"/>
        <w:left w:val="none" w:sz="0" w:space="0" w:color="auto"/>
        <w:bottom w:val="none" w:sz="0" w:space="0" w:color="auto"/>
        <w:right w:val="none" w:sz="0" w:space="0" w:color="auto"/>
      </w:divBdr>
    </w:div>
    <w:div w:id="1163395894">
      <w:bodyDiv w:val="1"/>
      <w:marLeft w:val="0"/>
      <w:marRight w:val="0"/>
      <w:marTop w:val="0"/>
      <w:marBottom w:val="0"/>
      <w:divBdr>
        <w:top w:val="none" w:sz="0" w:space="0" w:color="auto"/>
        <w:left w:val="none" w:sz="0" w:space="0" w:color="auto"/>
        <w:bottom w:val="none" w:sz="0" w:space="0" w:color="auto"/>
        <w:right w:val="none" w:sz="0" w:space="0" w:color="auto"/>
      </w:divBdr>
      <w:divsChild>
        <w:div w:id="463429437">
          <w:marLeft w:val="0"/>
          <w:marRight w:val="0"/>
          <w:marTop w:val="0"/>
          <w:marBottom w:val="0"/>
          <w:divBdr>
            <w:top w:val="none" w:sz="0" w:space="0" w:color="auto"/>
            <w:left w:val="none" w:sz="0" w:space="0" w:color="auto"/>
            <w:bottom w:val="none" w:sz="0" w:space="0" w:color="auto"/>
            <w:right w:val="none" w:sz="0" w:space="0" w:color="auto"/>
          </w:divBdr>
          <w:divsChild>
            <w:div w:id="1000474662">
              <w:marLeft w:val="0"/>
              <w:marRight w:val="0"/>
              <w:marTop w:val="0"/>
              <w:marBottom w:val="0"/>
              <w:divBdr>
                <w:top w:val="none" w:sz="0" w:space="0" w:color="auto"/>
                <w:left w:val="none" w:sz="0" w:space="0" w:color="auto"/>
                <w:bottom w:val="none" w:sz="0" w:space="0" w:color="auto"/>
                <w:right w:val="none" w:sz="0" w:space="0" w:color="auto"/>
              </w:divBdr>
              <w:divsChild>
                <w:div w:id="2112775330">
                  <w:marLeft w:val="0"/>
                  <w:marRight w:val="0"/>
                  <w:marTop w:val="0"/>
                  <w:marBottom w:val="0"/>
                  <w:divBdr>
                    <w:top w:val="none" w:sz="0" w:space="0" w:color="auto"/>
                    <w:left w:val="none" w:sz="0" w:space="0" w:color="auto"/>
                    <w:bottom w:val="none" w:sz="0" w:space="0" w:color="auto"/>
                    <w:right w:val="none" w:sz="0" w:space="0" w:color="auto"/>
                  </w:divBdr>
                  <w:divsChild>
                    <w:div w:id="1471048204">
                      <w:marLeft w:val="0"/>
                      <w:marRight w:val="0"/>
                      <w:marTop w:val="0"/>
                      <w:marBottom w:val="0"/>
                      <w:divBdr>
                        <w:top w:val="none" w:sz="0" w:space="0" w:color="auto"/>
                        <w:left w:val="none" w:sz="0" w:space="0" w:color="auto"/>
                        <w:bottom w:val="none" w:sz="0" w:space="0" w:color="auto"/>
                        <w:right w:val="none" w:sz="0" w:space="0" w:color="auto"/>
                      </w:divBdr>
                      <w:divsChild>
                        <w:div w:id="358624048">
                          <w:marLeft w:val="0"/>
                          <w:marRight w:val="0"/>
                          <w:marTop w:val="0"/>
                          <w:marBottom w:val="0"/>
                          <w:divBdr>
                            <w:top w:val="none" w:sz="0" w:space="0" w:color="auto"/>
                            <w:left w:val="none" w:sz="0" w:space="0" w:color="auto"/>
                            <w:bottom w:val="none" w:sz="0" w:space="0" w:color="auto"/>
                            <w:right w:val="none" w:sz="0" w:space="0" w:color="auto"/>
                          </w:divBdr>
                          <w:divsChild>
                            <w:div w:id="2092265891">
                              <w:marLeft w:val="0"/>
                              <w:marRight w:val="300"/>
                              <w:marTop w:val="180"/>
                              <w:marBottom w:val="0"/>
                              <w:divBdr>
                                <w:top w:val="none" w:sz="0" w:space="0" w:color="auto"/>
                                <w:left w:val="none" w:sz="0" w:space="0" w:color="auto"/>
                                <w:bottom w:val="none" w:sz="0" w:space="0" w:color="auto"/>
                                <w:right w:val="none" w:sz="0" w:space="0" w:color="auto"/>
                              </w:divBdr>
                              <w:divsChild>
                                <w:div w:id="10788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168289">
          <w:marLeft w:val="0"/>
          <w:marRight w:val="0"/>
          <w:marTop w:val="0"/>
          <w:marBottom w:val="0"/>
          <w:divBdr>
            <w:top w:val="none" w:sz="0" w:space="0" w:color="auto"/>
            <w:left w:val="none" w:sz="0" w:space="0" w:color="auto"/>
            <w:bottom w:val="none" w:sz="0" w:space="0" w:color="auto"/>
            <w:right w:val="none" w:sz="0" w:space="0" w:color="auto"/>
          </w:divBdr>
          <w:divsChild>
            <w:div w:id="783113770">
              <w:marLeft w:val="0"/>
              <w:marRight w:val="0"/>
              <w:marTop w:val="0"/>
              <w:marBottom w:val="0"/>
              <w:divBdr>
                <w:top w:val="none" w:sz="0" w:space="0" w:color="auto"/>
                <w:left w:val="none" w:sz="0" w:space="0" w:color="auto"/>
                <w:bottom w:val="none" w:sz="0" w:space="0" w:color="auto"/>
                <w:right w:val="none" w:sz="0" w:space="0" w:color="auto"/>
              </w:divBdr>
              <w:divsChild>
                <w:div w:id="606306141">
                  <w:marLeft w:val="0"/>
                  <w:marRight w:val="0"/>
                  <w:marTop w:val="0"/>
                  <w:marBottom w:val="0"/>
                  <w:divBdr>
                    <w:top w:val="none" w:sz="0" w:space="0" w:color="auto"/>
                    <w:left w:val="none" w:sz="0" w:space="0" w:color="auto"/>
                    <w:bottom w:val="none" w:sz="0" w:space="0" w:color="auto"/>
                    <w:right w:val="none" w:sz="0" w:space="0" w:color="auto"/>
                  </w:divBdr>
                  <w:divsChild>
                    <w:div w:id="292371948">
                      <w:marLeft w:val="0"/>
                      <w:marRight w:val="0"/>
                      <w:marTop w:val="0"/>
                      <w:marBottom w:val="0"/>
                      <w:divBdr>
                        <w:top w:val="none" w:sz="0" w:space="0" w:color="auto"/>
                        <w:left w:val="none" w:sz="0" w:space="0" w:color="auto"/>
                        <w:bottom w:val="none" w:sz="0" w:space="0" w:color="auto"/>
                        <w:right w:val="none" w:sz="0" w:space="0" w:color="auto"/>
                      </w:divBdr>
                      <w:divsChild>
                        <w:div w:id="11357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004597">
      <w:bodyDiv w:val="1"/>
      <w:marLeft w:val="0"/>
      <w:marRight w:val="0"/>
      <w:marTop w:val="0"/>
      <w:marBottom w:val="0"/>
      <w:divBdr>
        <w:top w:val="none" w:sz="0" w:space="0" w:color="auto"/>
        <w:left w:val="none" w:sz="0" w:space="0" w:color="auto"/>
        <w:bottom w:val="none" w:sz="0" w:space="0" w:color="auto"/>
        <w:right w:val="none" w:sz="0" w:space="0" w:color="auto"/>
      </w:divBdr>
      <w:divsChild>
        <w:div w:id="122504088">
          <w:marLeft w:val="0"/>
          <w:marRight w:val="0"/>
          <w:marTop w:val="0"/>
          <w:marBottom w:val="0"/>
          <w:divBdr>
            <w:top w:val="none" w:sz="0" w:space="0" w:color="auto"/>
            <w:left w:val="none" w:sz="0" w:space="0" w:color="auto"/>
            <w:bottom w:val="none" w:sz="0" w:space="0" w:color="auto"/>
            <w:right w:val="none" w:sz="0" w:space="0" w:color="auto"/>
          </w:divBdr>
          <w:divsChild>
            <w:div w:id="1915815206">
              <w:marLeft w:val="0"/>
              <w:marRight w:val="0"/>
              <w:marTop w:val="0"/>
              <w:marBottom w:val="0"/>
              <w:divBdr>
                <w:top w:val="none" w:sz="0" w:space="0" w:color="auto"/>
                <w:left w:val="none" w:sz="0" w:space="0" w:color="auto"/>
                <w:bottom w:val="none" w:sz="0" w:space="0" w:color="auto"/>
                <w:right w:val="none" w:sz="0" w:space="0" w:color="auto"/>
              </w:divBdr>
              <w:divsChild>
                <w:div w:id="952518474">
                  <w:marLeft w:val="0"/>
                  <w:marRight w:val="0"/>
                  <w:marTop w:val="0"/>
                  <w:marBottom w:val="0"/>
                  <w:divBdr>
                    <w:top w:val="none" w:sz="0" w:space="0" w:color="auto"/>
                    <w:left w:val="none" w:sz="0" w:space="0" w:color="auto"/>
                    <w:bottom w:val="none" w:sz="0" w:space="0" w:color="auto"/>
                    <w:right w:val="none" w:sz="0" w:space="0" w:color="auto"/>
                  </w:divBdr>
                  <w:divsChild>
                    <w:div w:id="743137925">
                      <w:marLeft w:val="0"/>
                      <w:marRight w:val="0"/>
                      <w:marTop w:val="0"/>
                      <w:marBottom w:val="0"/>
                      <w:divBdr>
                        <w:top w:val="none" w:sz="0" w:space="0" w:color="auto"/>
                        <w:left w:val="none" w:sz="0" w:space="0" w:color="auto"/>
                        <w:bottom w:val="none" w:sz="0" w:space="0" w:color="auto"/>
                        <w:right w:val="none" w:sz="0" w:space="0" w:color="auto"/>
                      </w:divBdr>
                      <w:divsChild>
                        <w:div w:id="2094431672">
                          <w:marLeft w:val="0"/>
                          <w:marRight w:val="0"/>
                          <w:marTop w:val="0"/>
                          <w:marBottom w:val="0"/>
                          <w:divBdr>
                            <w:top w:val="none" w:sz="0" w:space="0" w:color="auto"/>
                            <w:left w:val="none" w:sz="0" w:space="0" w:color="auto"/>
                            <w:bottom w:val="none" w:sz="0" w:space="0" w:color="auto"/>
                            <w:right w:val="none" w:sz="0" w:space="0" w:color="auto"/>
                          </w:divBdr>
                        </w:div>
                        <w:div w:id="86776535">
                          <w:marLeft w:val="0"/>
                          <w:marRight w:val="0"/>
                          <w:marTop w:val="0"/>
                          <w:marBottom w:val="0"/>
                          <w:divBdr>
                            <w:top w:val="none" w:sz="0" w:space="0" w:color="auto"/>
                            <w:left w:val="none" w:sz="0" w:space="0" w:color="auto"/>
                            <w:bottom w:val="none" w:sz="0" w:space="0" w:color="auto"/>
                            <w:right w:val="none" w:sz="0" w:space="0" w:color="auto"/>
                          </w:divBdr>
                          <w:divsChild>
                            <w:div w:id="1874034373">
                              <w:marLeft w:val="0"/>
                              <w:marRight w:val="300"/>
                              <w:marTop w:val="180"/>
                              <w:marBottom w:val="0"/>
                              <w:divBdr>
                                <w:top w:val="none" w:sz="0" w:space="0" w:color="auto"/>
                                <w:left w:val="none" w:sz="0" w:space="0" w:color="auto"/>
                                <w:bottom w:val="none" w:sz="0" w:space="0" w:color="auto"/>
                                <w:right w:val="none" w:sz="0" w:space="0" w:color="auto"/>
                              </w:divBdr>
                              <w:divsChild>
                                <w:div w:id="4427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402840">
          <w:marLeft w:val="0"/>
          <w:marRight w:val="0"/>
          <w:marTop w:val="0"/>
          <w:marBottom w:val="0"/>
          <w:divBdr>
            <w:top w:val="none" w:sz="0" w:space="0" w:color="auto"/>
            <w:left w:val="none" w:sz="0" w:space="0" w:color="auto"/>
            <w:bottom w:val="none" w:sz="0" w:space="0" w:color="auto"/>
            <w:right w:val="none" w:sz="0" w:space="0" w:color="auto"/>
          </w:divBdr>
          <w:divsChild>
            <w:div w:id="1024019401">
              <w:marLeft w:val="0"/>
              <w:marRight w:val="0"/>
              <w:marTop w:val="0"/>
              <w:marBottom w:val="0"/>
              <w:divBdr>
                <w:top w:val="none" w:sz="0" w:space="0" w:color="auto"/>
                <w:left w:val="none" w:sz="0" w:space="0" w:color="auto"/>
                <w:bottom w:val="none" w:sz="0" w:space="0" w:color="auto"/>
                <w:right w:val="none" w:sz="0" w:space="0" w:color="auto"/>
              </w:divBdr>
              <w:divsChild>
                <w:div w:id="463735410">
                  <w:marLeft w:val="0"/>
                  <w:marRight w:val="0"/>
                  <w:marTop w:val="0"/>
                  <w:marBottom w:val="0"/>
                  <w:divBdr>
                    <w:top w:val="none" w:sz="0" w:space="0" w:color="auto"/>
                    <w:left w:val="none" w:sz="0" w:space="0" w:color="auto"/>
                    <w:bottom w:val="none" w:sz="0" w:space="0" w:color="auto"/>
                    <w:right w:val="none" w:sz="0" w:space="0" w:color="auto"/>
                  </w:divBdr>
                  <w:divsChild>
                    <w:div w:id="418450387">
                      <w:marLeft w:val="0"/>
                      <w:marRight w:val="0"/>
                      <w:marTop w:val="0"/>
                      <w:marBottom w:val="0"/>
                      <w:divBdr>
                        <w:top w:val="none" w:sz="0" w:space="0" w:color="auto"/>
                        <w:left w:val="none" w:sz="0" w:space="0" w:color="auto"/>
                        <w:bottom w:val="none" w:sz="0" w:space="0" w:color="auto"/>
                        <w:right w:val="none" w:sz="0" w:space="0" w:color="auto"/>
                      </w:divBdr>
                      <w:divsChild>
                        <w:div w:id="12049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10408">
      <w:bodyDiv w:val="1"/>
      <w:marLeft w:val="0"/>
      <w:marRight w:val="0"/>
      <w:marTop w:val="0"/>
      <w:marBottom w:val="0"/>
      <w:divBdr>
        <w:top w:val="none" w:sz="0" w:space="0" w:color="auto"/>
        <w:left w:val="none" w:sz="0" w:space="0" w:color="auto"/>
        <w:bottom w:val="none" w:sz="0" w:space="0" w:color="auto"/>
        <w:right w:val="none" w:sz="0" w:space="0" w:color="auto"/>
      </w:divBdr>
      <w:divsChild>
        <w:div w:id="1478912575">
          <w:marLeft w:val="0"/>
          <w:marRight w:val="0"/>
          <w:marTop w:val="0"/>
          <w:marBottom w:val="0"/>
          <w:divBdr>
            <w:top w:val="none" w:sz="0" w:space="0" w:color="auto"/>
            <w:left w:val="none" w:sz="0" w:space="0" w:color="auto"/>
            <w:bottom w:val="none" w:sz="0" w:space="0" w:color="auto"/>
            <w:right w:val="none" w:sz="0" w:space="0" w:color="auto"/>
          </w:divBdr>
          <w:divsChild>
            <w:div w:id="1939486703">
              <w:marLeft w:val="0"/>
              <w:marRight w:val="0"/>
              <w:marTop w:val="0"/>
              <w:marBottom w:val="0"/>
              <w:divBdr>
                <w:top w:val="none" w:sz="0" w:space="0" w:color="auto"/>
                <w:left w:val="none" w:sz="0" w:space="0" w:color="auto"/>
                <w:bottom w:val="none" w:sz="0" w:space="0" w:color="auto"/>
                <w:right w:val="none" w:sz="0" w:space="0" w:color="auto"/>
              </w:divBdr>
              <w:divsChild>
                <w:div w:id="741559424">
                  <w:marLeft w:val="0"/>
                  <w:marRight w:val="0"/>
                  <w:marTop w:val="0"/>
                  <w:marBottom w:val="0"/>
                  <w:divBdr>
                    <w:top w:val="none" w:sz="0" w:space="0" w:color="auto"/>
                    <w:left w:val="none" w:sz="0" w:space="0" w:color="auto"/>
                    <w:bottom w:val="none" w:sz="0" w:space="0" w:color="auto"/>
                    <w:right w:val="none" w:sz="0" w:space="0" w:color="auto"/>
                  </w:divBdr>
                  <w:divsChild>
                    <w:div w:id="1681394740">
                      <w:marLeft w:val="0"/>
                      <w:marRight w:val="0"/>
                      <w:marTop w:val="0"/>
                      <w:marBottom w:val="0"/>
                      <w:divBdr>
                        <w:top w:val="none" w:sz="0" w:space="0" w:color="auto"/>
                        <w:left w:val="none" w:sz="0" w:space="0" w:color="auto"/>
                        <w:bottom w:val="none" w:sz="0" w:space="0" w:color="auto"/>
                        <w:right w:val="none" w:sz="0" w:space="0" w:color="auto"/>
                      </w:divBdr>
                      <w:divsChild>
                        <w:div w:id="1547446411">
                          <w:marLeft w:val="0"/>
                          <w:marRight w:val="0"/>
                          <w:marTop w:val="0"/>
                          <w:marBottom w:val="0"/>
                          <w:divBdr>
                            <w:top w:val="none" w:sz="0" w:space="0" w:color="auto"/>
                            <w:left w:val="none" w:sz="0" w:space="0" w:color="auto"/>
                            <w:bottom w:val="none" w:sz="0" w:space="0" w:color="auto"/>
                            <w:right w:val="none" w:sz="0" w:space="0" w:color="auto"/>
                          </w:divBdr>
                        </w:div>
                        <w:div w:id="942759508">
                          <w:marLeft w:val="0"/>
                          <w:marRight w:val="0"/>
                          <w:marTop w:val="0"/>
                          <w:marBottom w:val="0"/>
                          <w:divBdr>
                            <w:top w:val="none" w:sz="0" w:space="0" w:color="auto"/>
                            <w:left w:val="none" w:sz="0" w:space="0" w:color="auto"/>
                            <w:bottom w:val="none" w:sz="0" w:space="0" w:color="auto"/>
                            <w:right w:val="none" w:sz="0" w:space="0" w:color="auto"/>
                          </w:divBdr>
                          <w:divsChild>
                            <w:div w:id="1748846775">
                              <w:marLeft w:val="0"/>
                              <w:marRight w:val="300"/>
                              <w:marTop w:val="180"/>
                              <w:marBottom w:val="0"/>
                              <w:divBdr>
                                <w:top w:val="none" w:sz="0" w:space="0" w:color="auto"/>
                                <w:left w:val="none" w:sz="0" w:space="0" w:color="auto"/>
                                <w:bottom w:val="none" w:sz="0" w:space="0" w:color="auto"/>
                                <w:right w:val="none" w:sz="0" w:space="0" w:color="auto"/>
                              </w:divBdr>
                              <w:divsChild>
                                <w:div w:id="16824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106246">
          <w:marLeft w:val="0"/>
          <w:marRight w:val="0"/>
          <w:marTop w:val="0"/>
          <w:marBottom w:val="0"/>
          <w:divBdr>
            <w:top w:val="none" w:sz="0" w:space="0" w:color="auto"/>
            <w:left w:val="none" w:sz="0" w:space="0" w:color="auto"/>
            <w:bottom w:val="none" w:sz="0" w:space="0" w:color="auto"/>
            <w:right w:val="none" w:sz="0" w:space="0" w:color="auto"/>
          </w:divBdr>
          <w:divsChild>
            <w:div w:id="704791324">
              <w:marLeft w:val="0"/>
              <w:marRight w:val="0"/>
              <w:marTop w:val="0"/>
              <w:marBottom w:val="0"/>
              <w:divBdr>
                <w:top w:val="none" w:sz="0" w:space="0" w:color="auto"/>
                <w:left w:val="none" w:sz="0" w:space="0" w:color="auto"/>
                <w:bottom w:val="none" w:sz="0" w:space="0" w:color="auto"/>
                <w:right w:val="none" w:sz="0" w:space="0" w:color="auto"/>
              </w:divBdr>
              <w:divsChild>
                <w:div w:id="1519462340">
                  <w:marLeft w:val="0"/>
                  <w:marRight w:val="0"/>
                  <w:marTop w:val="0"/>
                  <w:marBottom w:val="0"/>
                  <w:divBdr>
                    <w:top w:val="none" w:sz="0" w:space="0" w:color="auto"/>
                    <w:left w:val="none" w:sz="0" w:space="0" w:color="auto"/>
                    <w:bottom w:val="none" w:sz="0" w:space="0" w:color="auto"/>
                    <w:right w:val="none" w:sz="0" w:space="0" w:color="auto"/>
                  </w:divBdr>
                  <w:divsChild>
                    <w:div w:id="581253633">
                      <w:marLeft w:val="0"/>
                      <w:marRight w:val="0"/>
                      <w:marTop w:val="0"/>
                      <w:marBottom w:val="0"/>
                      <w:divBdr>
                        <w:top w:val="none" w:sz="0" w:space="0" w:color="auto"/>
                        <w:left w:val="none" w:sz="0" w:space="0" w:color="auto"/>
                        <w:bottom w:val="none" w:sz="0" w:space="0" w:color="auto"/>
                        <w:right w:val="none" w:sz="0" w:space="0" w:color="auto"/>
                      </w:divBdr>
                      <w:divsChild>
                        <w:div w:id="1907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vc-ags-in-be@amge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vc-ags-in-be@amge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vc-ags-in-be@amg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7FDCE24B6DB408949AC665FC005DB" ma:contentTypeVersion="12" ma:contentTypeDescription="Create a new document." ma:contentTypeScope="" ma:versionID="4678e8e685595f74fd1addc37a3d66c2">
  <xsd:schema xmlns:xsd="http://www.w3.org/2001/XMLSchema" xmlns:xs="http://www.w3.org/2001/XMLSchema" xmlns:p="http://schemas.microsoft.com/office/2006/metadata/properties" xmlns:ns2="ee44be43-e28d-4495-979b-ab8b22eb812a" xmlns:ns3="858a1f69-f89d-4e37-89ee-cbb647ed9a70" targetNamespace="http://schemas.microsoft.com/office/2006/metadata/properties" ma:root="true" ma:fieldsID="929feb0c2de54a12cae238df8231e61e" ns2:_="" ns3:_="">
    <xsd:import namespace="ee44be43-e28d-4495-979b-ab8b22eb812a"/>
    <xsd:import namespace="858a1f69-f89d-4e37-89ee-cbb647ed9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4be43-e28d-4495-979b-ab8b22eb8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8a1f69-f89d-4e37-89ee-cbb647ed9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82ad3a63-90ad-4a46-a3cb-757f4658e205" origin="userSelected">
  <element uid="ba0343df-3220-4244-9388-1298e2abc028" value=""/>
  <element uid="03e9b10b-a1f9-4a88-9630-476473f62285" value=""/>
  <element uid="7349a702-6462-4442-88eb-c64cd513835c" value=""/>
</sisl>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81739-CD10-400C-AC9E-E6E8C7ABC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4be43-e28d-4495-979b-ab8b22eb812a"/>
    <ds:schemaRef ds:uri="858a1f69-f89d-4e37-89ee-cbb647ed9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C186D-7979-4FC5-B515-48EB58BC9AF8}">
  <ds:schemaRefs>
    <ds:schemaRef ds:uri="http://schemas.microsoft.com/sharepoint/v3/contenttype/forms"/>
  </ds:schemaRefs>
</ds:datastoreItem>
</file>

<file path=customXml/itemProps3.xml><?xml version="1.0" encoding="utf-8"?>
<ds:datastoreItem xmlns:ds="http://schemas.openxmlformats.org/officeDocument/2006/customXml" ds:itemID="{FEE7C5DF-F85A-485E-8CD7-711EDF608EDD}">
  <ds:schemaRefs>
    <ds:schemaRef ds:uri="http://purl.org/dc/terms/"/>
    <ds:schemaRef ds:uri="858a1f69-f89d-4e37-89ee-cbb647ed9a70"/>
    <ds:schemaRef ds:uri="http://schemas.microsoft.com/office/2006/documentManagement/types"/>
    <ds:schemaRef ds:uri="http://schemas.microsoft.com/office/infopath/2007/PartnerControls"/>
    <ds:schemaRef ds:uri="http://purl.org/dc/elements/1.1/"/>
    <ds:schemaRef ds:uri="http://schemas.microsoft.com/office/2006/metadata/properties"/>
    <ds:schemaRef ds:uri="ee44be43-e28d-4495-979b-ab8b22eb812a"/>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4D242A9-EFF1-4CD7-8FC4-E0FFBFB3E30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9BE6B94-E9F1-46C8-91B5-38E6897A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3986</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FAGG-AFMPS</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Kristof Bonnarens</dc:creator>
  <cp:keywords>*$%CON-*$%GenBus</cp:keywords>
  <cp:lastModifiedBy>Decuyper, Elisa</cp:lastModifiedBy>
  <cp:revision>3</cp:revision>
  <cp:lastPrinted>2020-06-22T12:59:00Z</cp:lastPrinted>
  <dcterms:created xsi:type="dcterms:W3CDTF">2020-07-10T15:22:00Z</dcterms:created>
  <dcterms:modified xsi:type="dcterms:W3CDTF">2020-07-10T15:24:00Z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874b5b20-1783-44e0-a118-b21afa06e9d0</vt:lpwstr>
  </property>
  <property fmtid="{D5CDD505-2E9C-101B-9397-08002B2CF9AE}" pid="3" name="bjSaver">
    <vt:lpwstr>XrSsNhAHMtr3sWHi7Jenpqv9fUt1JiX4</vt:lpwstr>
  </property>
  <property fmtid="{D5CDD505-2E9C-101B-9397-08002B2CF9AE}" pid="4" name="bjDocumentSecurityLabel">
    <vt:lpwstr>Confidential - General Business</vt:lpwstr>
  </property>
  <property fmtid="{D5CDD505-2E9C-101B-9397-08002B2CF9AE}" pid="5" name="ContentTypeId">
    <vt:lpwstr>0x0101001BE7FDCE24B6DB408949AC665FC005DB</vt:lpwstr>
  </property>
  <property fmtid="{D5CDD505-2E9C-101B-9397-08002B2CF9AE}" pid="6"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7" name="bjDocumentLabelXML-0">
    <vt:lpwstr>ames.com/2008/01/sie/internal/label"&gt;&lt;element uid="ba0343df-3220-4244-9388-1298e2abc028" value="" /&gt;&lt;element uid="03e9b10b-a1f9-4a88-9630-476473f62285" value="" /&gt;&lt;element uid="7349a702-6462-4442-88eb-c64cd513835c" value="" /&gt;&lt;/sisl&gt;</vt:lpwstr>
  </property>
</Properties>
</file>