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241B0" w14:textId="6783ADFA" w:rsidR="00A462E2" w:rsidRPr="0062385A" w:rsidRDefault="00891332">
      <w:pPr>
        <w:rPr>
          <w:b/>
          <w:lang w:val="nl-BE"/>
        </w:rPr>
      </w:pPr>
      <w:r w:rsidRPr="0062385A">
        <w:rPr>
          <w:b/>
          <w:lang w:val="nl-BE"/>
        </w:rPr>
        <w:t xml:space="preserve">Kennisgevingsprocedure </w:t>
      </w:r>
      <w:r w:rsidR="00FE50D2" w:rsidRPr="0062385A">
        <w:rPr>
          <w:b/>
          <w:lang w:val="nl-BE"/>
        </w:rPr>
        <w:t xml:space="preserve">MDR / IVDR </w:t>
      </w:r>
    </w:p>
    <w:p w14:paraId="2C5CADBB" w14:textId="29E186C1" w:rsidR="00891332" w:rsidRPr="0062385A" w:rsidRDefault="00891332" w:rsidP="00891332">
      <w:pPr>
        <w:rPr>
          <w:lang w:val="nl-BE"/>
        </w:rPr>
      </w:pPr>
      <w:r w:rsidRPr="0062385A">
        <w:rPr>
          <w:lang w:val="nl-BE"/>
        </w:rPr>
        <w:t>De nieuwe Europese verordeningen betreffende medische hulpmiddelen (</w:t>
      </w:r>
      <w:hyperlink r:id="rId6" w:history="1">
        <w:r w:rsidR="008C2BF5" w:rsidRPr="008C2BF5">
          <w:rPr>
            <w:rStyle w:val="Hyperlink"/>
            <w:rFonts w:ascii="Verdana" w:hAnsi="Verdana"/>
            <w:sz w:val="20"/>
            <w:szCs w:val="20"/>
            <w:lang w:val="nl-BE"/>
          </w:rPr>
          <w:t>MDR – 2017/045</w:t>
        </w:r>
      </w:hyperlink>
      <w:r w:rsidRPr="0062385A">
        <w:rPr>
          <w:lang w:val="nl-BE"/>
        </w:rPr>
        <w:t xml:space="preserve">) en </w:t>
      </w:r>
      <w:r w:rsidRPr="0062385A">
        <w:rPr>
          <w:color w:val="000000"/>
          <w:lang w:val="nl-BE"/>
        </w:rPr>
        <w:t xml:space="preserve">medische hulpmiddelen voor in-vitrodiagnostiek </w:t>
      </w:r>
      <w:r w:rsidR="008C2BF5">
        <w:rPr>
          <w:lang w:val="nl-BE"/>
        </w:rPr>
        <w:t>(</w:t>
      </w:r>
      <w:hyperlink r:id="rId7" w:history="1">
        <w:r w:rsidR="008C2BF5" w:rsidRPr="008C2BF5">
          <w:rPr>
            <w:rStyle w:val="Hyperlink"/>
            <w:rFonts w:ascii="Verdana" w:hAnsi="Verdana"/>
            <w:sz w:val="20"/>
            <w:szCs w:val="20"/>
            <w:lang w:val="nl-BE"/>
          </w:rPr>
          <w:t>IVDR – 2017/046</w:t>
        </w:r>
      </w:hyperlink>
      <w:r w:rsidRPr="0062385A">
        <w:rPr>
          <w:lang w:val="nl-BE"/>
        </w:rPr>
        <w:t>)</w:t>
      </w:r>
      <w:r w:rsidR="009F0608">
        <w:rPr>
          <w:lang w:val="nl-BE"/>
        </w:rPr>
        <w:t xml:space="preserve">, hierna </w:t>
      </w:r>
      <w:r w:rsidR="00364889">
        <w:rPr>
          <w:lang w:val="nl-BE"/>
        </w:rPr>
        <w:t>‘</w:t>
      </w:r>
      <w:r w:rsidR="00DB6742">
        <w:rPr>
          <w:lang w:val="nl-BE"/>
        </w:rPr>
        <w:t xml:space="preserve">medische </w:t>
      </w:r>
      <w:r w:rsidR="009F0608">
        <w:rPr>
          <w:lang w:val="nl-BE"/>
        </w:rPr>
        <w:t>hulpmiddelen</w:t>
      </w:r>
      <w:r w:rsidR="00364889">
        <w:rPr>
          <w:lang w:val="nl-BE"/>
        </w:rPr>
        <w:t>’</w:t>
      </w:r>
      <w:r w:rsidR="009F0608">
        <w:rPr>
          <w:lang w:val="nl-BE"/>
        </w:rPr>
        <w:t xml:space="preserve"> genoemd,</w:t>
      </w:r>
      <w:r w:rsidR="008C2BF5">
        <w:rPr>
          <w:lang w:val="nl-BE"/>
        </w:rPr>
        <w:t xml:space="preserve"> zijn op 25 mei </w:t>
      </w:r>
      <w:r w:rsidRPr="0062385A">
        <w:rPr>
          <w:lang w:val="nl-BE"/>
        </w:rPr>
        <w:t xml:space="preserve">2017 in werking getreden.  </w:t>
      </w:r>
    </w:p>
    <w:p w14:paraId="7A81B061" w14:textId="7C19E5AB" w:rsidR="00891332" w:rsidRPr="0062385A" w:rsidRDefault="00891332" w:rsidP="00891332">
      <w:pPr>
        <w:rPr>
          <w:lang w:val="nl-BE"/>
        </w:rPr>
      </w:pPr>
      <w:r w:rsidRPr="0062385A">
        <w:rPr>
          <w:lang w:val="nl-BE"/>
        </w:rPr>
        <w:t xml:space="preserve">Deze verordeningen zullen </w:t>
      </w:r>
      <w:r w:rsidR="009F0608">
        <w:rPr>
          <w:lang w:val="nl-BE"/>
        </w:rPr>
        <w:t xml:space="preserve">algemeen </w:t>
      </w:r>
      <w:r w:rsidRPr="0062385A">
        <w:rPr>
          <w:lang w:val="nl-BE"/>
        </w:rPr>
        <w:t xml:space="preserve">van </w:t>
      </w:r>
      <w:r w:rsidR="000138CC">
        <w:rPr>
          <w:lang w:val="nl-BE"/>
        </w:rPr>
        <w:t>toepassing</w:t>
      </w:r>
      <w:r w:rsidR="000138CC" w:rsidRPr="0062385A">
        <w:rPr>
          <w:lang w:val="nl-BE"/>
        </w:rPr>
        <w:t xml:space="preserve"> </w:t>
      </w:r>
      <w:r w:rsidR="00ED217D">
        <w:rPr>
          <w:lang w:val="nl-BE"/>
        </w:rPr>
        <w:t>zijn</w:t>
      </w:r>
      <w:r w:rsidR="006F2995">
        <w:rPr>
          <w:lang w:val="nl-BE"/>
        </w:rPr>
        <w:t xml:space="preserve"> op 26 mei </w:t>
      </w:r>
      <w:r w:rsidR="00BD4DB7">
        <w:rPr>
          <w:lang w:val="nl-BE"/>
        </w:rPr>
        <w:t xml:space="preserve">2020 voor de MDR en op 26 mei </w:t>
      </w:r>
      <w:r w:rsidRPr="0062385A">
        <w:rPr>
          <w:lang w:val="nl-BE"/>
        </w:rPr>
        <w:t xml:space="preserve">2022 voor de IVDR. </w:t>
      </w:r>
      <w:r w:rsidR="009F0608">
        <w:rPr>
          <w:lang w:val="nl-BE"/>
        </w:rPr>
        <w:t xml:space="preserve">Sommige regels zullen uitzonderlijk echter </w:t>
      </w:r>
      <w:r w:rsidR="007D0954">
        <w:rPr>
          <w:lang w:val="nl-BE"/>
        </w:rPr>
        <w:t xml:space="preserve">al </w:t>
      </w:r>
      <w:r w:rsidR="009F0608">
        <w:rPr>
          <w:lang w:val="nl-BE"/>
        </w:rPr>
        <w:t xml:space="preserve">eerder of </w:t>
      </w:r>
      <w:r w:rsidR="007D0954">
        <w:rPr>
          <w:lang w:val="nl-BE"/>
        </w:rPr>
        <w:t xml:space="preserve">pas </w:t>
      </w:r>
      <w:r w:rsidR="009F0608">
        <w:rPr>
          <w:lang w:val="nl-BE"/>
        </w:rPr>
        <w:t>later van toepassing zijn.</w:t>
      </w:r>
    </w:p>
    <w:p w14:paraId="46047ABB" w14:textId="46FB07E1" w:rsidR="00891332" w:rsidRDefault="00891332" w:rsidP="00891332">
      <w:pPr>
        <w:rPr>
          <w:lang w:val="nl-BE"/>
        </w:rPr>
      </w:pPr>
      <w:r w:rsidRPr="0062385A">
        <w:rPr>
          <w:lang w:val="nl-BE"/>
        </w:rPr>
        <w:t xml:space="preserve">Tijdens </w:t>
      </w:r>
      <w:r w:rsidR="009F0608" w:rsidRPr="0062385A">
        <w:rPr>
          <w:lang w:val="nl-BE"/>
        </w:rPr>
        <w:t>de</w:t>
      </w:r>
      <w:r w:rsidR="009F0608">
        <w:rPr>
          <w:lang w:val="nl-BE"/>
        </w:rPr>
        <w:t xml:space="preserve"> huidige</w:t>
      </w:r>
      <w:r w:rsidR="009F0608" w:rsidRPr="0062385A">
        <w:rPr>
          <w:lang w:val="nl-BE"/>
        </w:rPr>
        <w:t xml:space="preserve"> </w:t>
      </w:r>
      <w:r w:rsidRPr="0062385A">
        <w:rPr>
          <w:lang w:val="nl-BE"/>
        </w:rPr>
        <w:t xml:space="preserve">overgangsfase moeten marktdeelnemers de nodige maatregelen </w:t>
      </w:r>
      <w:r w:rsidR="008F4277">
        <w:rPr>
          <w:lang w:val="nl-BE"/>
        </w:rPr>
        <w:t>treffen</w:t>
      </w:r>
      <w:r w:rsidRPr="0062385A">
        <w:rPr>
          <w:lang w:val="nl-BE"/>
        </w:rPr>
        <w:t xml:space="preserve"> </w:t>
      </w:r>
      <w:r w:rsidR="000138CC">
        <w:rPr>
          <w:lang w:val="nl-BE"/>
        </w:rPr>
        <w:t xml:space="preserve">om </w:t>
      </w:r>
      <w:r w:rsidR="00ED217D">
        <w:rPr>
          <w:lang w:val="nl-BE"/>
        </w:rPr>
        <w:t>te voldoen</w:t>
      </w:r>
      <w:r w:rsidR="008F4277">
        <w:rPr>
          <w:lang w:val="nl-BE"/>
        </w:rPr>
        <w:t xml:space="preserve"> </w:t>
      </w:r>
      <w:r w:rsidRPr="0062385A">
        <w:rPr>
          <w:lang w:val="nl-BE"/>
        </w:rPr>
        <w:t xml:space="preserve">aan deze nieuwe </w:t>
      </w:r>
      <w:r w:rsidR="008F4277">
        <w:rPr>
          <w:lang w:val="nl-BE"/>
        </w:rPr>
        <w:t>reglementering</w:t>
      </w:r>
      <w:r w:rsidRPr="0062385A">
        <w:rPr>
          <w:lang w:val="nl-BE"/>
        </w:rPr>
        <w:t xml:space="preserve">.   </w:t>
      </w:r>
    </w:p>
    <w:p w14:paraId="55B4F658" w14:textId="77777777" w:rsidR="008F4277" w:rsidRPr="0062385A" w:rsidRDefault="008F4277" w:rsidP="00891332">
      <w:pPr>
        <w:rPr>
          <w:lang w:val="nl-BE"/>
        </w:rPr>
      </w:pPr>
    </w:p>
    <w:p w14:paraId="0D7A3D49" w14:textId="276A280B" w:rsidR="0025172D" w:rsidRPr="0062385A" w:rsidRDefault="007D0954" w:rsidP="005A15D2">
      <w:pPr>
        <w:rPr>
          <w:lang w:val="nl-BE"/>
        </w:rPr>
      </w:pPr>
      <w:r>
        <w:rPr>
          <w:lang w:val="nl-BE"/>
        </w:rPr>
        <w:t>E</w:t>
      </w:r>
      <w:r w:rsidR="00891332" w:rsidRPr="0062385A">
        <w:rPr>
          <w:lang w:val="nl-BE"/>
        </w:rPr>
        <w:t>nkele belangrijke data om te onthouden</w:t>
      </w:r>
      <w:r w:rsidR="0025172D" w:rsidRPr="0062385A">
        <w:rPr>
          <w:lang w:val="nl-BE"/>
        </w:rPr>
        <w:t xml:space="preserve">: 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25172D" w:rsidRPr="0062385A" w14:paraId="4E2BCB38" w14:textId="77777777" w:rsidTr="008F5175">
        <w:tc>
          <w:tcPr>
            <w:tcW w:w="9067" w:type="dxa"/>
            <w:gridSpan w:val="2"/>
            <w:shd w:val="clear" w:color="auto" w:fill="D9D9D9" w:themeFill="background1" w:themeFillShade="D9"/>
          </w:tcPr>
          <w:p w14:paraId="258DDB89" w14:textId="4D031F15" w:rsidR="0025172D" w:rsidRPr="0062385A" w:rsidRDefault="00891332" w:rsidP="00891332">
            <w:pPr>
              <w:jc w:val="center"/>
              <w:rPr>
                <w:lang w:val="nl-BE"/>
              </w:rPr>
            </w:pPr>
            <w:r w:rsidRPr="0062385A">
              <w:rPr>
                <w:lang w:val="nl-BE"/>
              </w:rPr>
              <w:t xml:space="preserve">Belangrijke data </w:t>
            </w:r>
            <w:r w:rsidR="0025172D" w:rsidRPr="0062385A">
              <w:rPr>
                <w:lang w:val="nl-BE"/>
              </w:rPr>
              <w:t>MDR</w:t>
            </w:r>
          </w:p>
        </w:tc>
      </w:tr>
      <w:tr w:rsidR="0025172D" w:rsidRPr="0062385A" w14:paraId="63D67977" w14:textId="77777777" w:rsidTr="008F5175">
        <w:tc>
          <w:tcPr>
            <w:tcW w:w="5665" w:type="dxa"/>
            <w:shd w:val="clear" w:color="auto" w:fill="B4C6E7" w:themeFill="accent5" w:themeFillTint="66"/>
          </w:tcPr>
          <w:p w14:paraId="012002E2" w14:textId="661028F0" w:rsidR="0025172D" w:rsidRPr="0062385A" w:rsidRDefault="00891332" w:rsidP="005A15D2">
            <w:pPr>
              <w:rPr>
                <w:color w:val="FFFFFF" w:themeColor="background1"/>
                <w:lang w:val="nl-BE"/>
              </w:rPr>
            </w:pPr>
            <w:r w:rsidRPr="0062385A">
              <w:rPr>
                <w:color w:val="FFFFFF" w:themeColor="background1"/>
                <w:lang w:val="nl-BE"/>
              </w:rPr>
              <w:t xml:space="preserve">Inwerkingtreding </w:t>
            </w:r>
          </w:p>
        </w:tc>
        <w:tc>
          <w:tcPr>
            <w:tcW w:w="3402" w:type="dxa"/>
          </w:tcPr>
          <w:p w14:paraId="441B3BEB" w14:textId="558D279E" w:rsidR="0025172D" w:rsidRPr="0062385A" w:rsidRDefault="00874FE8" w:rsidP="00A246C1">
            <w:pPr>
              <w:rPr>
                <w:lang w:val="nl-BE"/>
              </w:rPr>
            </w:pPr>
            <w:r>
              <w:rPr>
                <w:lang w:val="nl-BE"/>
              </w:rPr>
              <w:t>2</w:t>
            </w:r>
            <w:r w:rsidR="00A246C1">
              <w:rPr>
                <w:lang w:val="nl-BE"/>
              </w:rPr>
              <w:t>5</w:t>
            </w:r>
            <w:r>
              <w:rPr>
                <w:lang w:val="nl-BE"/>
              </w:rPr>
              <w:t xml:space="preserve"> mei </w:t>
            </w:r>
            <w:r w:rsidR="0025172D" w:rsidRPr="0062385A">
              <w:rPr>
                <w:lang w:val="nl-BE"/>
              </w:rPr>
              <w:t>2017</w:t>
            </w:r>
          </w:p>
        </w:tc>
      </w:tr>
      <w:tr w:rsidR="0025172D" w:rsidRPr="0062385A" w14:paraId="514B03AD" w14:textId="77777777" w:rsidTr="008F5175">
        <w:tc>
          <w:tcPr>
            <w:tcW w:w="5665" w:type="dxa"/>
            <w:shd w:val="clear" w:color="auto" w:fill="B4C6E7" w:themeFill="accent5" w:themeFillTint="66"/>
          </w:tcPr>
          <w:p w14:paraId="35FEC065" w14:textId="3215E6FC" w:rsidR="0025172D" w:rsidRPr="0062385A" w:rsidRDefault="00AC6CA7" w:rsidP="009F0608">
            <w:pPr>
              <w:rPr>
                <w:color w:val="FFFFFF" w:themeColor="background1"/>
                <w:lang w:val="nl-BE"/>
              </w:rPr>
            </w:pPr>
            <w:r w:rsidRPr="0062385A">
              <w:rPr>
                <w:color w:val="FFFFFF" w:themeColor="background1"/>
                <w:lang w:val="nl-BE"/>
              </w:rPr>
              <w:t>Mogelijke</w:t>
            </w:r>
            <w:r w:rsidR="00EF4E2F">
              <w:rPr>
                <w:color w:val="FFFFFF" w:themeColor="background1"/>
                <w:lang w:val="nl-BE"/>
              </w:rPr>
              <w:t xml:space="preserve"> start</w:t>
            </w:r>
            <w:r w:rsidRPr="0062385A">
              <w:rPr>
                <w:color w:val="FFFFFF" w:themeColor="background1"/>
                <w:lang w:val="nl-BE"/>
              </w:rPr>
              <w:t xml:space="preserve">datum </w:t>
            </w:r>
            <w:r w:rsidR="009F0608">
              <w:rPr>
                <w:color w:val="FFFFFF" w:themeColor="background1"/>
                <w:lang w:val="nl-BE"/>
              </w:rPr>
              <w:t xml:space="preserve">voor </w:t>
            </w:r>
            <w:r w:rsidR="000138CC">
              <w:rPr>
                <w:color w:val="FFFFFF" w:themeColor="background1"/>
                <w:lang w:val="nl-BE"/>
              </w:rPr>
              <w:t xml:space="preserve">aanvraag </w:t>
            </w:r>
            <w:r w:rsidRPr="0062385A">
              <w:rPr>
                <w:color w:val="FFFFFF" w:themeColor="background1"/>
                <w:lang w:val="nl-BE"/>
              </w:rPr>
              <w:t xml:space="preserve"> tot aanwijzing </w:t>
            </w:r>
            <w:r w:rsidR="000138CC">
              <w:rPr>
                <w:color w:val="FFFFFF" w:themeColor="background1"/>
                <w:lang w:val="nl-BE"/>
              </w:rPr>
              <w:t>als</w:t>
            </w:r>
            <w:r w:rsidRPr="0062385A">
              <w:rPr>
                <w:color w:val="FFFFFF" w:themeColor="background1"/>
                <w:lang w:val="nl-BE"/>
              </w:rPr>
              <w:t xml:space="preserve"> aangemelde instantie</w:t>
            </w:r>
          </w:p>
        </w:tc>
        <w:tc>
          <w:tcPr>
            <w:tcW w:w="3402" w:type="dxa"/>
          </w:tcPr>
          <w:p w14:paraId="0927A754" w14:textId="6C850D90" w:rsidR="0025172D" w:rsidRPr="0062385A" w:rsidRDefault="0025172D" w:rsidP="00A246C1">
            <w:pPr>
              <w:rPr>
                <w:lang w:val="nl-BE"/>
              </w:rPr>
            </w:pPr>
            <w:r w:rsidRPr="0062385A">
              <w:rPr>
                <w:lang w:val="nl-BE"/>
              </w:rPr>
              <w:t>2</w:t>
            </w:r>
            <w:r w:rsidR="00E677F2" w:rsidRPr="0062385A">
              <w:rPr>
                <w:lang w:val="nl-BE"/>
              </w:rPr>
              <w:t>6</w:t>
            </w:r>
            <w:r w:rsidR="00A246C1">
              <w:rPr>
                <w:lang w:val="nl-BE"/>
              </w:rPr>
              <w:t xml:space="preserve"> november </w:t>
            </w:r>
            <w:r w:rsidRPr="0062385A">
              <w:rPr>
                <w:lang w:val="nl-BE"/>
              </w:rPr>
              <w:t>2017</w:t>
            </w:r>
          </w:p>
        </w:tc>
      </w:tr>
      <w:tr w:rsidR="0025172D" w:rsidRPr="0062385A" w14:paraId="57D1DC4D" w14:textId="77777777" w:rsidTr="008F5175">
        <w:tc>
          <w:tcPr>
            <w:tcW w:w="5665" w:type="dxa"/>
            <w:shd w:val="clear" w:color="auto" w:fill="B4C6E7" w:themeFill="accent5" w:themeFillTint="66"/>
          </w:tcPr>
          <w:p w14:paraId="45D8EC99" w14:textId="77F8C61E" w:rsidR="0025172D" w:rsidRPr="0062385A" w:rsidRDefault="00AC6CA7" w:rsidP="00AC6CA7">
            <w:pPr>
              <w:rPr>
                <w:color w:val="FFFFFF" w:themeColor="background1"/>
                <w:lang w:val="nl-BE"/>
              </w:rPr>
            </w:pPr>
            <w:r w:rsidRPr="0062385A">
              <w:rPr>
                <w:color w:val="FFFFFF" w:themeColor="background1"/>
                <w:lang w:val="nl-BE"/>
              </w:rPr>
              <w:t>Toepassingsdatum</w:t>
            </w:r>
          </w:p>
        </w:tc>
        <w:tc>
          <w:tcPr>
            <w:tcW w:w="3402" w:type="dxa"/>
          </w:tcPr>
          <w:p w14:paraId="2DF980E0" w14:textId="0005D627" w:rsidR="0025172D" w:rsidRPr="0062385A" w:rsidRDefault="0074170F" w:rsidP="00874FE8">
            <w:pPr>
              <w:rPr>
                <w:lang w:val="nl-BE"/>
              </w:rPr>
            </w:pPr>
            <w:r w:rsidRPr="0062385A">
              <w:rPr>
                <w:lang w:val="nl-BE"/>
              </w:rPr>
              <w:t>2</w:t>
            </w:r>
            <w:r w:rsidR="00E92BF2">
              <w:rPr>
                <w:lang w:val="nl-BE"/>
              </w:rPr>
              <w:t>6</w:t>
            </w:r>
            <w:r w:rsidR="00874FE8">
              <w:rPr>
                <w:lang w:val="nl-BE"/>
              </w:rPr>
              <w:t xml:space="preserve"> mei </w:t>
            </w:r>
            <w:r w:rsidRPr="0062385A">
              <w:rPr>
                <w:lang w:val="nl-BE"/>
              </w:rPr>
              <w:t>2020</w:t>
            </w:r>
          </w:p>
        </w:tc>
      </w:tr>
      <w:tr w:rsidR="00622648" w:rsidRPr="0062385A" w14:paraId="38E3B06C" w14:textId="77777777" w:rsidTr="008F5175">
        <w:tc>
          <w:tcPr>
            <w:tcW w:w="5665" w:type="dxa"/>
            <w:shd w:val="clear" w:color="auto" w:fill="B4C6E7" w:themeFill="accent5" w:themeFillTint="66"/>
          </w:tcPr>
          <w:p w14:paraId="6387C665" w14:textId="5AD04366" w:rsidR="00622648" w:rsidRPr="0062385A" w:rsidRDefault="00AC6CA7" w:rsidP="00AC6CA7">
            <w:pPr>
              <w:rPr>
                <w:color w:val="FFFFFF" w:themeColor="background1"/>
                <w:lang w:val="nl-BE"/>
              </w:rPr>
            </w:pPr>
            <w:r w:rsidRPr="0062385A">
              <w:rPr>
                <w:color w:val="FFFFFF" w:themeColor="background1"/>
                <w:lang w:val="nl-BE"/>
              </w:rPr>
              <w:t xml:space="preserve">Geen certificering meer volgens de MDD- en AIMD-richtlijnen door de aangemelde instanties </w:t>
            </w:r>
          </w:p>
        </w:tc>
        <w:tc>
          <w:tcPr>
            <w:tcW w:w="3402" w:type="dxa"/>
          </w:tcPr>
          <w:p w14:paraId="6AD2ED3A" w14:textId="30955F6A" w:rsidR="00622648" w:rsidRPr="0062385A" w:rsidRDefault="00440DCF" w:rsidP="00E92BF2">
            <w:pPr>
              <w:rPr>
                <w:lang w:val="nl-BE"/>
              </w:rPr>
            </w:pPr>
            <w:r w:rsidRPr="0062385A">
              <w:rPr>
                <w:lang w:val="nl-BE"/>
              </w:rPr>
              <w:t>26</w:t>
            </w:r>
            <w:r w:rsidR="00E92BF2">
              <w:rPr>
                <w:lang w:val="nl-BE"/>
              </w:rPr>
              <w:t xml:space="preserve"> mei </w:t>
            </w:r>
            <w:r w:rsidRPr="0062385A">
              <w:rPr>
                <w:lang w:val="nl-BE"/>
              </w:rPr>
              <w:t>2020</w:t>
            </w:r>
          </w:p>
        </w:tc>
      </w:tr>
      <w:tr w:rsidR="0025172D" w:rsidRPr="0062385A" w14:paraId="6F0C7352" w14:textId="77777777" w:rsidTr="008F5175">
        <w:tc>
          <w:tcPr>
            <w:tcW w:w="5665" w:type="dxa"/>
            <w:shd w:val="clear" w:color="auto" w:fill="B4C6E7" w:themeFill="accent5" w:themeFillTint="66"/>
          </w:tcPr>
          <w:p w14:paraId="28FD6864" w14:textId="2ED48AC8" w:rsidR="0025172D" w:rsidRPr="0062385A" w:rsidRDefault="00DE406E" w:rsidP="007D0954">
            <w:pPr>
              <w:rPr>
                <w:color w:val="FFFFFF" w:themeColor="background1"/>
                <w:lang w:val="nl-BE"/>
              </w:rPr>
            </w:pPr>
            <w:r w:rsidRPr="00DB6742">
              <w:rPr>
                <w:color w:val="FFFFFF" w:themeColor="background1"/>
                <w:lang w:val="nl-BE"/>
              </w:rPr>
              <w:t xml:space="preserve">Maximale </w:t>
            </w:r>
            <w:r>
              <w:rPr>
                <w:color w:val="FFFFFF" w:themeColor="background1"/>
                <w:lang w:val="nl-BE"/>
              </w:rPr>
              <w:t>e</w:t>
            </w:r>
            <w:r w:rsidR="00AC6CA7" w:rsidRPr="0062385A">
              <w:rPr>
                <w:color w:val="FFFFFF" w:themeColor="background1"/>
                <w:lang w:val="nl-BE"/>
              </w:rPr>
              <w:t xml:space="preserve">inddatum van de geldigheid van </w:t>
            </w:r>
            <w:r w:rsidR="005C6603">
              <w:rPr>
                <w:color w:val="FFFFFF" w:themeColor="background1"/>
                <w:lang w:val="nl-BE"/>
              </w:rPr>
              <w:t>alle</w:t>
            </w:r>
            <w:r w:rsidR="005C6603" w:rsidRPr="0062385A">
              <w:rPr>
                <w:color w:val="FFFFFF" w:themeColor="background1"/>
                <w:lang w:val="nl-BE"/>
              </w:rPr>
              <w:t xml:space="preserve"> </w:t>
            </w:r>
            <w:r w:rsidR="00AC6CA7" w:rsidRPr="0062385A">
              <w:rPr>
                <w:color w:val="FFFFFF" w:themeColor="background1"/>
                <w:lang w:val="nl-BE"/>
              </w:rPr>
              <w:t xml:space="preserve">certificaten verleend </w:t>
            </w:r>
            <w:r w:rsidR="007D0954">
              <w:rPr>
                <w:color w:val="FFFFFF" w:themeColor="background1"/>
                <w:lang w:val="nl-BE"/>
              </w:rPr>
              <w:t>volgens</w:t>
            </w:r>
            <w:r w:rsidR="007D0954" w:rsidRPr="0062385A">
              <w:rPr>
                <w:color w:val="FFFFFF" w:themeColor="background1"/>
                <w:lang w:val="nl-BE"/>
              </w:rPr>
              <w:t xml:space="preserve"> </w:t>
            </w:r>
            <w:r w:rsidR="00AC6CA7" w:rsidRPr="0062385A">
              <w:rPr>
                <w:color w:val="FFFFFF" w:themeColor="background1"/>
                <w:lang w:val="nl-BE"/>
              </w:rPr>
              <w:t xml:space="preserve">de huidige richtlijnen </w:t>
            </w:r>
          </w:p>
        </w:tc>
        <w:tc>
          <w:tcPr>
            <w:tcW w:w="3402" w:type="dxa"/>
          </w:tcPr>
          <w:p w14:paraId="1C9A85D1" w14:textId="3BC4C41F" w:rsidR="0025172D" w:rsidRPr="0062385A" w:rsidRDefault="0074170F" w:rsidP="00874FE8">
            <w:pPr>
              <w:rPr>
                <w:lang w:val="nl-BE"/>
              </w:rPr>
            </w:pPr>
            <w:r w:rsidRPr="0062385A">
              <w:rPr>
                <w:lang w:val="nl-BE"/>
              </w:rPr>
              <w:t>27</w:t>
            </w:r>
            <w:r w:rsidR="00874FE8">
              <w:rPr>
                <w:lang w:val="nl-BE"/>
              </w:rPr>
              <w:t xml:space="preserve"> mei </w:t>
            </w:r>
            <w:r w:rsidRPr="0062385A">
              <w:rPr>
                <w:lang w:val="nl-BE"/>
              </w:rPr>
              <w:t>2024</w:t>
            </w:r>
          </w:p>
        </w:tc>
      </w:tr>
      <w:tr w:rsidR="0025172D" w:rsidRPr="0062385A" w14:paraId="28E151E2" w14:textId="77777777" w:rsidTr="008F5175">
        <w:tc>
          <w:tcPr>
            <w:tcW w:w="5665" w:type="dxa"/>
            <w:shd w:val="clear" w:color="auto" w:fill="B4C6E7" w:themeFill="accent5" w:themeFillTint="66"/>
          </w:tcPr>
          <w:p w14:paraId="4BB10D2B" w14:textId="7BDF5B74" w:rsidR="0025172D" w:rsidRPr="0062385A" w:rsidRDefault="00CA48EC" w:rsidP="00CA48EC">
            <w:pPr>
              <w:rPr>
                <w:color w:val="FFFFFF" w:themeColor="background1"/>
                <w:lang w:val="nl-BE"/>
              </w:rPr>
            </w:pPr>
            <w:r w:rsidRPr="0062385A">
              <w:rPr>
                <w:color w:val="FFFFFF" w:themeColor="background1"/>
                <w:lang w:val="nl-BE"/>
              </w:rPr>
              <w:t xml:space="preserve">Einde van </w:t>
            </w:r>
            <w:r w:rsidR="00AC6CA7" w:rsidRPr="0062385A">
              <w:rPr>
                <w:color w:val="FFFFFF" w:themeColor="background1"/>
                <w:lang w:val="nl-BE"/>
              </w:rPr>
              <w:t xml:space="preserve">ingebruikneming </w:t>
            </w:r>
            <w:r w:rsidRPr="0062385A">
              <w:rPr>
                <w:color w:val="FFFFFF" w:themeColor="background1"/>
                <w:lang w:val="nl-BE"/>
              </w:rPr>
              <w:t>of aanbieden van</w:t>
            </w:r>
            <w:r w:rsidR="00DB6742">
              <w:rPr>
                <w:color w:val="FFFFFF" w:themeColor="background1"/>
                <w:lang w:val="nl-BE"/>
              </w:rPr>
              <w:t xml:space="preserve"> medische</w:t>
            </w:r>
            <w:r w:rsidRPr="0062385A">
              <w:rPr>
                <w:color w:val="FFFFFF" w:themeColor="background1"/>
                <w:lang w:val="nl-BE"/>
              </w:rPr>
              <w:t xml:space="preserve"> hulpmiddelen gecertificeerd volgens de huidige richtlijnen</w:t>
            </w:r>
          </w:p>
        </w:tc>
        <w:tc>
          <w:tcPr>
            <w:tcW w:w="3402" w:type="dxa"/>
          </w:tcPr>
          <w:p w14:paraId="6253188A" w14:textId="7701E36B" w:rsidR="0025172D" w:rsidRPr="0062385A" w:rsidRDefault="0074170F" w:rsidP="00874FE8">
            <w:pPr>
              <w:rPr>
                <w:lang w:val="nl-BE"/>
              </w:rPr>
            </w:pPr>
            <w:r w:rsidRPr="0062385A">
              <w:rPr>
                <w:lang w:val="nl-BE"/>
              </w:rPr>
              <w:t>27</w:t>
            </w:r>
            <w:r w:rsidR="00874FE8">
              <w:rPr>
                <w:lang w:val="nl-BE"/>
              </w:rPr>
              <w:t xml:space="preserve"> mei </w:t>
            </w:r>
            <w:r w:rsidRPr="0062385A">
              <w:rPr>
                <w:lang w:val="nl-BE"/>
              </w:rPr>
              <w:t>2025</w:t>
            </w:r>
          </w:p>
        </w:tc>
      </w:tr>
    </w:tbl>
    <w:p w14:paraId="670F0638" w14:textId="77777777" w:rsidR="0025172D" w:rsidRPr="0062385A" w:rsidRDefault="0025172D" w:rsidP="005A15D2">
      <w:pPr>
        <w:rPr>
          <w:lang w:val="nl-BE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74170F" w:rsidRPr="0062385A" w14:paraId="1707E3ED" w14:textId="77777777" w:rsidTr="008F5175">
        <w:tc>
          <w:tcPr>
            <w:tcW w:w="9067" w:type="dxa"/>
            <w:gridSpan w:val="2"/>
            <w:shd w:val="clear" w:color="auto" w:fill="DBDBDB" w:themeFill="accent3" w:themeFillTint="66"/>
          </w:tcPr>
          <w:p w14:paraId="466E783F" w14:textId="01E43E4A" w:rsidR="0074170F" w:rsidRPr="0062385A" w:rsidRDefault="00891332" w:rsidP="008F5175">
            <w:pPr>
              <w:jc w:val="center"/>
              <w:rPr>
                <w:lang w:val="nl-BE"/>
              </w:rPr>
            </w:pPr>
            <w:r w:rsidRPr="0062385A">
              <w:rPr>
                <w:lang w:val="nl-BE"/>
              </w:rPr>
              <w:t xml:space="preserve">Belangrijke data </w:t>
            </w:r>
            <w:r w:rsidR="0074170F" w:rsidRPr="0062385A">
              <w:rPr>
                <w:lang w:val="nl-BE"/>
              </w:rPr>
              <w:t>IVDR</w:t>
            </w:r>
          </w:p>
        </w:tc>
      </w:tr>
      <w:tr w:rsidR="0074170F" w:rsidRPr="0062385A" w14:paraId="3E88FC7A" w14:textId="77777777" w:rsidTr="008F5175">
        <w:tc>
          <w:tcPr>
            <w:tcW w:w="5665" w:type="dxa"/>
            <w:shd w:val="clear" w:color="auto" w:fill="B4C6E7" w:themeFill="accent5" w:themeFillTint="66"/>
          </w:tcPr>
          <w:p w14:paraId="24BFC92D" w14:textId="2ACE3400" w:rsidR="0074170F" w:rsidRPr="0062385A" w:rsidRDefault="00891332" w:rsidP="00A462E2">
            <w:pPr>
              <w:rPr>
                <w:color w:val="FFFFFF" w:themeColor="background1"/>
                <w:lang w:val="nl-BE"/>
              </w:rPr>
            </w:pPr>
            <w:r w:rsidRPr="0062385A">
              <w:rPr>
                <w:color w:val="FFFFFF" w:themeColor="background1"/>
                <w:lang w:val="nl-BE"/>
              </w:rPr>
              <w:t xml:space="preserve">Inwerkingtreding </w:t>
            </w:r>
          </w:p>
        </w:tc>
        <w:tc>
          <w:tcPr>
            <w:tcW w:w="3402" w:type="dxa"/>
          </w:tcPr>
          <w:p w14:paraId="6C958129" w14:textId="5E233E68" w:rsidR="0074170F" w:rsidRPr="0062385A" w:rsidRDefault="00874FE8" w:rsidP="00A246C1">
            <w:pPr>
              <w:rPr>
                <w:lang w:val="nl-BE"/>
              </w:rPr>
            </w:pPr>
            <w:r>
              <w:rPr>
                <w:lang w:val="nl-BE"/>
              </w:rPr>
              <w:t>2</w:t>
            </w:r>
            <w:r w:rsidR="00A246C1">
              <w:rPr>
                <w:lang w:val="nl-BE"/>
              </w:rPr>
              <w:t>5</w:t>
            </w:r>
            <w:r>
              <w:rPr>
                <w:lang w:val="nl-BE"/>
              </w:rPr>
              <w:t xml:space="preserve"> mei </w:t>
            </w:r>
            <w:r w:rsidR="0074170F" w:rsidRPr="0062385A">
              <w:rPr>
                <w:lang w:val="nl-BE"/>
              </w:rPr>
              <w:t>2017</w:t>
            </w:r>
          </w:p>
        </w:tc>
      </w:tr>
      <w:tr w:rsidR="0074170F" w:rsidRPr="0062385A" w14:paraId="07BD4EE2" w14:textId="77777777" w:rsidTr="008F5175">
        <w:tc>
          <w:tcPr>
            <w:tcW w:w="5665" w:type="dxa"/>
            <w:shd w:val="clear" w:color="auto" w:fill="B4C6E7" w:themeFill="accent5" w:themeFillTint="66"/>
          </w:tcPr>
          <w:p w14:paraId="284AB475" w14:textId="71D9B17A" w:rsidR="0074170F" w:rsidRPr="0062385A" w:rsidRDefault="00AC6CA7" w:rsidP="000138CC">
            <w:pPr>
              <w:rPr>
                <w:color w:val="FFFFFF" w:themeColor="background1"/>
                <w:lang w:val="nl-BE"/>
              </w:rPr>
            </w:pPr>
            <w:r w:rsidRPr="0062385A">
              <w:rPr>
                <w:color w:val="FFFFFF" w:themeColor="background1"/>
                <w:lang w:val="nl-BE"/>
              </w:rPr>
              <w:t>Mogelijke</w:t>
            </w:r>
            <w:r w:rsidR="00EF4E2F">
              <w:rPr>
                <w:color w:val="FFFFFF" w:themeColor="background1"/>
                <w:lang w:val="nl-BE"/>
              </w:rPr>
              <w:t xml:space="preserve"> start</w:t>
            </w:r>
            <w:r w:rsidRPr="0062385A">
              <w:rPr>
                <w:color w:val="FFFFFF" w:themeColor="background1"/>
                <w:lang w:val="nl-BE"/>
              </w:rPr>
              <w:t>datum van</w:t>
            </w:r>
            <w:r w:rsidR="005C6603">
              <w:rPr>
                <w:color w:val="FFFFFF" w:themeColor="background1"/>
                <w:lang w:val="nl-BE"/>
              </w:rPr>
              <w:t xml:space="preserve"> </w:t>
            </w:r>
            <w:r w:rsidR="009F0608">
              <w:rPr>
                <w:color w:val="FFFFFF" w:themeColor="background1"/>
                <w:lang w:val="nl-BE"/>
              </w:rPr>
              <w:t xml:space="preserve"> voor </w:t>
            </w:r>
            <w:r w:rsidR="000138CC">
              <w:rPr>
                <w:color w:val="FFFFFF" w:themeColor="background1"/>
                <w:lang w:val="nl-BE"/>
              </w:rPr>
              <w:t>aanvraag</w:t>
            </w:r>
            <w:r w:rsidRPr="0062385A">
              <w:rPr>
                <w:color w:val="FFFFFF" w:themeColor="background1"/>
                <w:lang w:val="nl-BE"/>
              </w:rPr>
              <w:t xml:space="preserve"> tot aanwijzing </w:t>
            </w:r>
            <w:r w:rsidR="000138CC">
              <w:rPr>
                <w:color w:val="FFFFFF" w:themeColor="background1"/>
                <w:lang w:val="nl-BE"/>
              </w:rPr>
              <w:t>als</w:t>
            </w:r>
            <w:r w:rsidRPr="0062385A">
              <w:rPr>
                <w:color w:val="FFFFFF" w:themeColor="background1"/>
                <w:lang w:val="nl-BE"/>
              </w:rPr>
              <w:t xml:space="preserve"> aangemelde instantie</w:t>
            </w:r>
          </w:p>
        </w:tc>
        <w:tc>
          <w:tcPr>
            <w:tcW w:w="3402" w:type="dxa"/>
          </w:tcPr>
          <w:p w14:paraId="54F9A1B4" w14:textId="36FB5DD7" w:rsidR="0074170F" w:rsidRPr="0062385A" w:rsidRDefault="0074170F" w:rsidP="00A246C1">
            <w:pPr>
              <w:rPr>
                <w:lang w:val="nl-BE"/>
              </w:rPr>
            </w:pPr>
            <w:r w:rsidRPr="0062385A">
              <w:rPr>
                <w:lang w:val="nl-BE"/>
              </w:rPr>
              <w:t>2</w:t>
            </w:r>
            <w:r w:rsidR="00E677F2" w:rsidRPr="0062385A">
              <w:rPr>
                <w:lang w:val="nl-BE"/>
              </w:rPr>
              <w:t>6</w:t>
            </w:r>
            <w:r w:rsidR="00A246C1">
              <w:rPr>
                <w:lang w:val="nl-BE"/>
              </w:rPr>
              <w:t xml:space="preserve"> november </w:t>
            </w:r>
            <w:r w:rsidRPr="0062385A">
              <w:rPr>
                <w:lang w:val="nl-BE"/>
              </w:rPr>
              <w:t>2017</w:t>
            </w:r>
          </w:p>
        </w:tc>
      </w:tr>
      <w:tr w:rsidR="0074170F" w:rsidRPr="0062385A" w14:paraId="0CD1411B" w14:textId="77777777" w:rsidTr="008F5175">
        <w:tc>
          <w:tcPr>
            <w:tcW w:w="5665" w:type="dxa"/>
            <w:shd w:val="clear" w:color="auto" w:fill="B4C6E7" w:themeFill="accent5" w:themeFillTint="66"/>
          </w:tcPr>
          <w:p w14:paraId="0487FB70" w14:textId="0A9BD488" w:rsidR="0074170F" w:rsidRPr="0062385A" w:rsidRDefault="00AC6CA7" w:rsidP="00A462E2">
            <w:pPr>
              <w:rPr>
                <w:color w:val="FFFFFF" w:themeColor="background1"/>
                <w:lang w:val="nl-BE"/>
              </w:rPr>
            </w:pPr>
            <w:r w:rsidRPr="0062385A">
              <w:rPr>
                <w:color w:val="FFFFFF" w:themeColor="background1"/>
                <w:lang w:val="nl-BE"/>
              </w:rPr>
              <w:t>Toepassingsdatum</w:t>
            </w:r>
          </w:p>
        </w:tc>
        <w:tc>
          <w:tcPr>
            <w:tcW w:w="3402" w:type="dxa"/>
          </w:tcPr>
          <w:p w14:paraId="6FC5A82A" w14:textId="063906DF" w:rsidR="0074170F" w:rsidRPr="0062385A" w:rsidRDefault="00E92BF2" w:rsidP="00874FE8">
            <w:pPr>
              <w:rPr>
                <w:lang w:val="nl-BE"/>
              </w:rPr>
            </w:pPr>
            <w:r>
              <w:rPr>
                <w:lang w:val="nl-BE"/>
              </w:rPr>
              <w:t>26</w:t>
            </w:r>
            <w:r w:rsidR="00874FE8">
              <w:rPr>
                <w:lang w:val="nl-BE"/>
              </w:rPr>
              <w:t xml:space="preserve"> mei </w:t>
            </w:r>
            <w:r w:rsidR="0074170F" w:rsidRPr="0062385A">
              <w:rPr>
                <w:lang w:val="nl-BE"/>
              </w:rPr>
              <w:t>2022</w:t>
            </w:r>
          </w:p>
        </w:tc>
      </w:tr>
      <w:tr w:rsidR="006E0CCB" w:rsidRPr="0062385A" w14:paraId="1D45A859" w14:textId="77777777" w:rsidTr="008F5175">
        <w:tc>
          <w:tcPr>
            <w:tcW w:w="5665" w:type="dxa"/>
            <w:shd w:val="clear" w:color="auto" w:fill="B4C6E7" w:themeFill="accent5" w:themeFillTint="66"/>
          </w:tcPr>
          <w:p w14:paraId="2A14557D" w14:textId="6BD5E778" w:rsidR="006E0CCB" w:rsidRPr="0062385A" w:rsidRDefault="00AC6CA7" w:rsidP="00AC6CA7">
            <w:pPr>
              <w:rPr>
                <w:color w:val="FFFFFF" w:themeColor="background1"/>
                <w:lang w:val="nl-BE"/>
              </w:rPr>
            </w:pPr>
            <w:r w:rsidRPr="0062385A">
              <w:rPr>
                <w:color w:val="FFFFFF" w:themeColor="background1"/>
                <w:lang w:val="nl-BE"/>
              </w:rPr>
              <w:t>Geen certificering meer volgens de IVD-richtlijn door de aangemelde instanties</w:t>
            </w:r>
          </w:p>
        </w:tc>
        <w:tc>
          <w:tcPr>
            <w:tcW w:w="3402" w:type="dxa"/>
          </w:tcPr>
          <w:p w14:paraId="6920756C" w14:textId="46F8C691" w:rsidR="006E0CCB" w:rsidRPr="0062385A" w:rsidRDefault="006E0CCB" w:rsidP="00E92BF2">
            <w:pPr>
              <w:rPr>
                <w:lang w:val="nl-BE"/>
              </w:rPr>
            </w:pPr>
            <w:r w:rsidRPr="0062385A">
              <w:rPr>
                <w:lang w:val="nl-BE"/>
              </w:rPr>
              <w:t>26</w:t>
            </w:r>
            <w:r w:rsidR="00E92BF2">
              <w:rPr>
                <w:lang w:val="nl-BE"/>
              </w:rPr>
              <w:t xml:space="preserve"> mei </w:t>
            </w:r>
            <w:bookmarkStart w:id="0" w:name="_GoBack"/>
            <w:bookmarkEnd w:id="0"/>
            <w:r w:rsidRPr="0062385A">
              <w:rPr>
                <w:lang w:val="nl-BE"/>
              </w:rPr>
              <w:t>2022</w:t>
            </w:r>
          </w:p>
        </w:tc>
      </w:tr>
      <w:tr w:rsidR="0074170F" w:rsidRPr="0062385A" w14:paraId="263E1F03" w14:textId="77777777" w:rsidTr="008F5175">
        <w:tc>
          <w:tcPr>
            <w:tcW w:w="5665" w:type="dxa"/>
            <w:shd w:val="clear" w:color="auto" w:fill="B4C6E7" w:themeFill="accent5" w:themeFillTint="66"/>
          </w:tcPr>
          <w:p w14:paraId="52BB675F" w14:textId="61BF8923" w:rsidR="0074170F" w:rsidRPr="0062385A" w:rsidRDefault="00DE406E" w:rsidP="007D0954">
            <w:pPr>
              <w:rPr>
                <w:color w:val="FFFFFF" w:themeColor="background1"/>
                <w:lang w:val="nl-BE"/>
              </w:rPr>
            </w:pPr>
            <w:r>
              <w:rPr>
                <w:color w:val="FFFFFF" w:themeColor="background1"/>
                <w:lang w:val="nl-BE"/>
              </w:rPr>
              <w:t>Maximale e</w:t>
            </w:r>
            <w:r w:rsidR="00AC6CA7" w:rsidRPr="0062385A">
              <w:rPr>
                <w:color w:val="FFFFFF" w:themeColor="background1"/>
                <w:lang w:val="nl-BE"/>
              </w:rPr>
              <w:t xml:space="preserve">inddatum van de geldigheid van </w:t>
            </w:r>
            <w:r w:rsidR="005C6603">
              <w:rPr>
                <w:color w:val="FFFFFF" w:themeColor="background1"/>
                <w:lang w:val="nl-BE"/>
              </w:rPr>
              <w:t>alle</w:t>
            </w:r>
            <w:r w:rsidR="005C6603" w:rsidRPr="0062385A">
              <w:rPr>
                <w:color w:val="FFFFFF" w:themeColor="background1"/>
                <w:lang w:val="nl-BE"/>
              </w:rPr>
              <w:t xml:space="preserve"> </w:t>
            </w:r>
            <w:r w:rsidR="00AC6CA7" w:rsidRPr="0062385A">
              <w:rPr>
                <w:color w:val="FFFFFF" w:themeColor="background1"/>
                <w:lang w:val="nl-BE"/>
              </w:rPr>
              <w:t xml:space="preserve">certificaten verleend </w:t>
            </w:r>
            <w:r w:rsidR="007D0954">
              <w:rPr>
                <w:color w:val="FFFFFF" w:themeColor="background1"/>
                <w:lang w:val="nl-BE"/>
              </w:rPr>
              <w:t>volgens</w:t>
            </w:r>
            <w:r w:rsidR="007D0954" w:rsidRPr="0062385A">
              <w:rPr>
                <w:color w:val="FFFFFF" w:themeColor="background1"/>
                <w:lang w:val="nl-BE"/>
              </w:rPr>
              <w:t xml:space="preserve"> </w:t>
            </w:r>
            <w:r w:rsidR="00AC6CA7" w:rsidRPr="0062385A">
              <w:rPr>
                <w:color w:val="FFFFFF" w:themeColor="background1"/>
                <w:lang w:val="nl-BE"/>
              </w:rPr>
              <w:t>de huidige richtlijn</w:t>
            </w:r>
          </w:p>
        </w:tc>
        <w:tc>
          <w:tcPr>
            <w:tcW w:w="3402" w:type="dxa"/>
          </w:tcPr>
          <w:p w14:paraId="7A799B0C" w14:textId="13332F6F" w:rsidR="0074170F" w:rsidRPr="0062385A" w:rsidRDefault="0074170F" w:rsidP="00874FE8">
            <w:pPr>
              <w:rPr>
                <w:lang w:val="nl-BE"/>
              </w:rPr>
            </w:pPr>
            <w:r w:rsidRPr="0062385A">
              <w:rPr>
                <w:lang w:val="nl-BE"/>
              </w:rPr>
              <w:t>27</w:t>
            </w:r>
            <w:r w:rsidR="00874FE8">
              <w:rPr>
                <w:lang w:val="nl-BE"/>
              </w:rPr>
              <w:t xml:space="preserve"> mei </w:t>
            </w:r>
            <w:r w:rsidRPr="0062385A">
              <w:rPr>
                <w:lang w:val="nl-BE"/>
              </w:rPr>
              <w:t>2024</w:t>
            </w:r>
          </w:p>
        </w:tc>
      </w:tr>
      <w:tr w:rsidR="0074170F" w:rsidRPr="0062385A" w14:paraId="189918A2" w14:textId="77777777" w:rsidTr="008F5175">
        <w:tc>
          <w:tcPr>
            <w:tcW w:w="5665" w:type="dxa"/>
            <w:shd w:val="clear" w:color="auto" w:fill="B4C6E7" w:themeFill="accent5" w:themeFillTint="66"/>
          </w:tcPr>
          <w:p w14:paraId="38386F1C" w14:textId="42C46A26" w:rsidR="0074170F" w:rsidRPr="0062385A" w:rsidRDefault="00CA48EC" w:rsidP="00CA48EC">
            <w:pPr>
              <w:rPr>
                <w:color w:val="FFFFFF" w:themeColor="background1"/>
                <w:lang w:val="nl-BE"/>
              </w:rPr>
            </w:pPr>
            <w:r w:rsidRPr="0062385A">
              <w:rPr>
                <w:color w:val="FFFFFF" w:themeColor="background1"/>
                <w:lang w:val="nl-BE"/>
              </w:rPr>
              <w:t>Einde van ingebruikneming of aanbieden van</w:t>
            </w:r>
            <w:r w:rsidR="00DB6742">
              <w:rPr>
                <w:color w:val="FFFFFF" w:themeColor="background1"/>
                <w:lang w:val="nl-BE"/>
              </w:rPr>
              <w:t xml:space="preserve"> medische</w:t>
            </w:r>
            <w:r w:rsidRPr="0062385A">
              <w:rPr>
                <w:color w:val="FFFFFF" w:themeColor="background1"/>
                <w:lang w:val="nl-BE"/>
              </w:rPr>
              <w:t xml:space="preserve"> hulpmiddelen gecertificeerd volgens de huidige richtlijn</w:t>
            </w:r>
            <w:r w:rsidR="0074170F" w:rsidRPr="0062385A">
              <w:rPr>
                <w:color w:val="FFFFFF" w:themeColor="background1"/>
                <w:lang w:val="nl-BE"/>
              </w:rPr>
              <w:t xml:space="preserve">  </w:t>
            </w:r>
          </w:p>
        </w:tc>
        <w:tc>
          <w:tcPr>
            <w:tcW w:w="3402" w:type="dxa"/>
          </w:tcPr>
          <w:p w14:paraId="680B67C6" w14:textId="728632CB" w:rsidR="0074170F" w:rsidRPr="0062385A" w:rsidRDefault="0074170F" w:rsidP="00874FE8">
            <w:pPr>
              <w:rPr>
                <w:lang w:val="nl-BE"/>
              </w:rPr>
            </w:pPr>
            <w:r w:rsidRPr="0062385A">
              <w:rPr>
                <w:lang w:val="nl-BE"/>
              </w:rPr>
              <w:t>27</w:t>
            </w:r>
            <w:r w:rsidR="00874FE8">
              <w:rPr>
                <w:lang w:val="nl-BE"/>
              </w:rPr>
              <w:t xml:space="preserve"> mei </w:t>
            </w:r>
            <w:r w:rsidRPr="0062385A">
              <w:rPr>
                <w:lang w:val="nl-BE"/>
              </w:rPr>
              <w:t>2025</w:t>
            </w:r>
          </w:p>
        </w:tc>
      </w:tr>
    </w:tbl>
    <w:p w14:paraId="4452C270" w14:textId="77777777" w:rsidR="0074170F" w:rsidRPr="0062385A" w:rsidRDefault="0074170F" w:rsidP="005A15D2">
      <w:pPr>
        <w:rPr>
          <w:lang w:val="nl-BE"/>
        </w:rPr>
      </w:pPr>
    </w:p>
    <w:p w14:paraId="6BDA9096" w14:textId="41872489" w:rsidR="00931D72" w:rsidRPr="0062385A" w:rsidRDefault="00CA48EC" w:rsidP="005A15D2">
      <w:pPr>
        <w:rPr>
          <w:lang w:val="nl-BE"/>
        </w:rPr>
      </w:pPr>
      <w:r w:rsidRPr="0062385A">
        <w:rPr>
          <w:lang w:val="nl-BE"/>
        </w:rPr>
        <w:t xml:space="preserve">Om een </w:t>
      </w:r>
      <w:r w:rsidR="00DB6742">
        <w:rPr>
          <w:lang w:val="nl-BE"/>
        </w:rPr>
        <w:t xml:space="preserve">medisch </w:t>
      </w:r>
      <w:r w:rsidRPr="0062385A">
        <w:rPr>
          <w:lang w:val="nl-BE"/>
        </w:rPr>
        <w:t>hulpmiddel</w:t>
      </w:r>
      <w:r w:rsidR="004678D5">
        <w:rPr>
          <w:lang w:val="nl-BE"/>
        </w:rPr>
        <w:t xml:space="preserve"> in de handel te brengen op de Europese markt</w:t>
      </w:r>
      <w:r w:rsidRPr="0062385A">
        <w:rPr>
          <w:lang w:val="nl-BE"/>
        </w:rPr>
        <w:t xml:space="preserve">, moeten fabrikanten </w:t>
      </w:r>
      <w:r w:rsidR="00ED217D">
        <w:rPr>
          <w:lang w:val="nl-BE"/>
        </w:rPr>
        <w:t>garanderen</w:t>
      </w:r>
      <w:r w:rsidR="002739FB" w:rsidRPr="0062385A">
        <w:rPr>
          <w:lang w:val="nl-BE"/>
        </w:rPr>
        <w:t xml:space="preserve"> </w:t>
      </w:r>
      <w:r w:rsidRPr="0062385A">
        <w:rPr>
          <w:lang w:val="nl-BE"/>
        </w:rPr>
        <w:t>dat het</w:t>
      </w:r>
      <w:r w:rsidR="00DB6742">
        <w:rPr>
          <w:lang w:val="nl-BE"/>
        </w:rPr>
        <w:t xml:space="preserve"> medisch</w:t>
      </w:r>
      <w:r w:rsidRPr="0062385A">
        <w:rPr>
          <w:lang w:val="nl-BE"/>
        </w:rPr>
        <w:t xml:space="preserve"> hulpmiddel aan de toepasselijke eisen voldoet.  De toepasselijke eisen zijn afhankelijk van de risicoclassificatie van het </w:t>
      </w:r>
      <w:r w:rsidR="00DB6742">
        <w:rPr>
          <w:lang w:val="nl-BE"/>
        </w:rPr>
        <w:t xml:space="preserve">medisch </w:t>
      </w:r>
      <w:r w:rsidRPr="0062385A">
        <w:rPr>
          <w:lang w:val="nl-BE"/>
        </w:rPr>
        <w:t>hulpmiddel.</w:t>
      </w:r>
    </w:p>
    <w:p w14:paraId="1E0BF6E7" w14:textId="77777777" w:rsidR="00EF0B55" w:rsidRDefault="00EF0B55" w:rsidP="0043064C">
      <w:pPr>
        <w:rPr>
          <w:lang w:val="nl-BE"/>
        </w:rPr>
      </w:pPr>
    </w:p>
    <w:p w14:paraId="5EF8D57A" w14:textId="15B9D23A" w:rsidR="008372F6" w:rsidRDefault="008372F6" w:rsidP="0043064C">
      <w:pPr>
        <w:rPr>
          <w:lang w:val="nl-B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08C71BA6" wp14:editId="1FE2BB57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5698490" cy="4025900"/>
            <wp:effectExtent l="0" t="0" r="0" b="0"/>
            <wp:wrapTopAndBottom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470" cy="40270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2B0201" w14:textId="77777777" w:rsidR="008372F6" w:rsidRDefault="008372F6" w:rsidP="0043064C">
      <w:pPr>
        <w:rPr>
          <w:lang w:val="nl-BE"/>
        </w:rPr>
      </w:pPr>
    </w:p>
    <w:p w14:paraId="6C86EF92" w14:textId="177B843E" w:rsidR="0043064C" w:rsidRPr="0062385A" w:rsidRDefault="00456929" w:rsidP="0043064C">
      <w:pPr>
        <w:rPr>
          <w:lang w:val="nl-BE"/>
        </w:rPr>
      </w:pPr>
      <w:r w:rsidRPr="0062385A">
        <w:rPr>
          <w:lang w:val="nl-BE"/>
        </w:rPr>
        <w:t>Voor</w:t>
      </w:r>
      <w:r w:rsidR="00DB6742">
        <w:rPr>
          <w:lang w:val="nl-BE"/>
        </w:rPr>
        <w:t xml:space="preserve"> medische</w:t>
      </w:r>
      <w:r w:rsidRPr="0062385A">
        <w:rPr>
          <w:lang w:val="nl-BE"/>
        </w:rPr>
        <w:t xml:space="preserve"> </w:t>
      </w:r>
      <w:r w:rsidR="00EB62E9">
        <w:rPr>
          <w:lang w:val="nl-BE"/>
        </w:rPr>
        <w:t>hulpmiddelen</w:t>
      </w:r>
      <w:r w:rsidR="00EB62E9" w:rsidRPr="0062385A">
        <w:rPr>
          <w:lang w:val="nl-BE"/>
        </w:rPr>
        <w:t xml:space="preserve"> </w:t>
      </w:r>
      <w:r w:rsidRPr="0062385A">
        <w:rPr>
          <w:lang w:val="nl-BE"/>
        </w:rPr>
        <w:t xml:space="preserve">die </w:t>
      </w:r>
      <w:r w:rsidR="00551FEF">
        <w:rPr>
          <w:lang w:val="nl-BE"/>
        </w:rPr>
        <w:t xml:space="preserve">in aanmerking komen voor </w:t>
      </w:r>
      <w:r w:rsidR="00F53AD0" w:rsidRPr="0062385A">
        <w:rPr>
          <w:lang w:val="nl-BE"/>
        </w:rPr>
        <w:t xml:space="preserve">een proces van </w:t>
      </w:r>
      <w:r w:rsidRPr="0062385A">
        <w:rPr>
          <w:lang w:val="nl-BE"/>
        </w:rPr>
        <w:t>“zelfcertificering</w:t>
      </w:r>
      <w:r w:rsidR="00F53AD0" w:rsidRPr="0062385A">
        <w:rPr>
          <w:lang w:val="nl-BE"/>
        </w:rPr>
        <w:t>”</w:t>
      </w:r>
      <w:r w:rsidRPr="0062385A">
        <w:rPr>
          <w:lang w:val="nl-BE"/>
        </w:rPr>
        <w:t xml:space="preserve">, is </w:t>
      </w:r>
      <w:r w:rsidR="00F53AD0" w:rsidRPr="0062385A">
        <w:rPr>
          <w:lang w:val="nl-BE"/>
        </w:rPr>
        <w:t xml:space="preserve">het in de handel brengen volgens </w:t>
      </w:r>
      <w:r w:rsidRPr="0062385A">
        <w:rPr>
          <w:lang w:val="nl-BE"/>
        </w:rPr>
        <w:t>de nieu</w:t>
      </w:r>
      <w:r w:rsidR="00F53AD0" w:rsidRPr="0062385A">
        <w:rPr>
          <w:lang w:val="nl-BE"/>
        </w:rPr>
        <w:t>we verordening</w:t>
      </w:r>
      <w:r w:rsidR="00EB62E9">
        <w:rPr>
          <w:lang w:val="nl-BE"/>
        </w:rPr>
        <w:t>en</w:t>
      </w:r>
      <w:r w:rsidR="006F2995">
        <w:rPr>
          <w:lang w:val="nl-BE"/>
        </w:rPr>
        <w:t xml:space="preserve"> mogelijk sinds 25 mei </w:t>
      </w:r>
      <w:r w:rsidR="00F53AD0" w:rsidRPr="0062385A">
        <w:rPr>
          <w:lang w:val="nl-BE"/>
        </w:rPr>
        <w:t>2017</w:t>
      </w:r>
      <w:r w:rsidRPr="0062385A">
        <w:rPr>
          <w:lang w:val="nl-BE"/>
        </w:rPr>
        <w:t xml:space="preserve">. Voor andere </w:t>
      </w:r>
      <w:r w:rsidR="005C709E">
        <w:rPr>
          <w:lang w:val="nl-BE"/>
        </w:rPr>
        <w:t xml:space="preserve">medische </w:t>
      </w:r>
      <w:r w:rsidRPr="0062385A">
        <w:rPr>
          <w:lang w:val="nl-BE"/>
        </w:rPr>
        <w:t xml:space="preserve">hulpmiddelen </w:t>
      </w:r>
      <w:r w:rsidR="00ED217D">
        <w:rPr>
          <w:lang w:val="nl-BE"/>
        </w:rPr>
        <w:t>kan dit pas nadat</w:t>
      </w:r>
      <w:r w:rsidR="00F53AD0" w:rsidRPr="0062385A">
        <w:rPr>
          <w:lang w:val="nl-BE"/>
        </w:rPr>
        <w:t xml:space="preserve"> </w:t>
      </w:r>
      <w:r w:rsidRPr="0062385A">
        <w:rPr>
          <w:lang w:val="nl-BE"/>
        </w:rPr>
        <w:t xml:space="preserve">een aangemelde instantie </w:t>
      </w:r>
      <w:r w:rsidR="00ED217D">
        <w:rPr>
          <w:lang w:val="nl-BE"/>
        </w:rPr>
        <w:t xml:space="preserve">erkend is </w:t>
      </w:r>
      <w:r w:rsidRPr="0062385A">
        <w:rPr>
          <w:lang w:val="nl-BE"/>
        </w:rPr>
        <w:t xml:space="preserve">overeenkomstig de </w:t>
      </w:r>
      <w:hyperlink r:id="rId9" w:history="1">
        <w:r w:rsidR="006F2995" w:rsidRPr="006F2995">
          <w:rPr>
            <w:rStyle w:val="Hyperlink"/>
            <w:rFonts w:ascii="Verdana" w:hAnsi="Verdana"/>
            <w:sz w:val="20"/>
            <w:szCs w:val="20"/>
            <w:lang w:val="nl-BE"/>
          </w:rPr>
          <w:t>MDR-2017/045</w:t>
        </w:r>
      </w:hyperlink>
      <w:r w:rsidR="006F2995" w:rsidRPr="006F2995">
        <w:rPr>
          <w:rStyle w:val="Hyperlink"/>
          <w:rFonts w:ascii="Verdana" w:hAnsi="Verdana"/>
          <w:sz w:val="20"/>
          <w:szCs w:val="20"/>
          <w:lang w:val="nl-BE"/>
        </w:rPr>
        <w:t xml:space="preserve"> </w:t>
      </w:r>
      <w:r w:rsidR="006F2995">
        <w:rPr>
          <w:lang w:val="nl-BE"/>
        </w:rPr>
        <w:t xml:space="preserve">of </w:t>
      </w:r>
      <w:hyperlink r:id="rId10" w:history="1">
        <w:r w:rsidR="006F2995" w:rsidRPr="006F2995">
          <w:rPr>
            <w:rStyle w:val="Hyperlink"/>
            <w:rFonts w:ascii="Verdana" w:hAnsi="Verdana"/>
            <w:sz w:val="20"/>
            <w:szCs w:val="20"/>
            <w:lang w:val="nl-BE"/>
          </w:rPr>
          <w:t>IVDR-2017/046</w:t>
        </w:r>
      </w:hyperlink>
      <w:r w:rsidRPr="0062385A">
        <w:rPr>
          <w:lang w:val="nl-BE"/>
        </w:rPr>
        <w:t xml:space="preserve">. </w:t>
      </w:r>
      <w:r w:rsidR="00FD1A10">
        <w:rPr>
          <w:lang w:val="nl-BE"/>
        </w:rPr>
        <w:t xml:space="preserve">Bovendien </w:t>
      </w:r>
      <w:r w:rsidR="00CC21B7">
        <w:rPr>
          <w:lang w:val="nl-BE"/>
        </w:rPr>
        <w:t xml:space="preserve">zullen </w:t>
      </w:r>
      <w:r w:rsidR="00FD1A10">
        <w:rPr>
          <w:lang w:val="nl-BE"/>
        </w:rPr>
        <w:t>v</w:t>
      </w:r>
      <w:r w:rsidR="00ED217D">
        <w:rPr>
          <w:lang w:val="nl-BE"/>
        </w:rPr>
        <w:t>oor</w:t>
      </w:r>
      <w:r w:rsidR="00F53AD0" w:rsidRPr="0062385A">
        <w:rPr>
          <w:lang w:val="nl-BE"/>
        </w:rPr>
        <w:t xml:space="preserve"> bepaalde </w:t>
      </w:r>
      <w:proofErr w:type="spellStart"/>
      <w:r w:rsidR="00F53AD0" w:rsidRPr="0062385A">
        <w:rPr>
          <w:lang w:val="nl-BE"/>
        </w:rPr>
        <w:t>IVD</w:t>
      </w:r>
      <w:r w:rsidRPr="0062385A">
        <w:rPr>
          <w:lang w:val="nl-BE"/>
        </w:rPr>
        <w:t>s</w:t>
      </w:r>
      <w:proofErr w:type="spellEnd"/>
      <w:r w:rsidRPr="0062385A">
        <w:rPr>
          <w:lang w:val="nl-BE"/>
        </w:rPr>
        <w:t xml:space="preserve"> of </w:t>
      </w:r>
      <w:r w:rsidR="00F53AD0" w:rsidRPr="0062385A">
        <w:rPr>
          <w:lang w:val="nl-BE"/>
        </w:rPr>
        <w:t xml:space="preserve">voor </w:t>
      </w:r>
      <w:r w:rsidR="005C709E">
        <w:rPr>
          <w:lang w:val="nl-BE"/>
        </w:rPr>
        <w:t xml:space="preserve">medische </w:t>
      </w:r>
      <w:r w:rsidRPr="0062385A">
        <w:rPr>
          <w:lang w:val="nl-BE"/>
        </w:rPr>
        <w:t xml:space="preserve">hulpmiddelen van de klassen </w:t>
      </w:r>
      <w:proofErr w:type="spellStart"/>
      <w:r w:rsidRPr="0062385A">
        <w:rPr>
          <w:lang w:val="nl-BE"/>
        </w:rPr>
        <w:t>IIb</w:t>
      </w:r>
      <w:proofErr w:type="spellEnd"/>
      <w:r w:rsidRPr="0062385A">
        <w:rPr>
          <w:lang w:val="nl-BE"/>
        </w:rPr>
        <w:t xml:space="preserve"> en III</w:t>
      </w:r>
      <w:r w:rsidR="00ED217D">
        <w:rPr>
          <w:lang w:val="nl-BE"/>
        </w:rPr>
        <w:t xml:space="preserve"> </w:t>
      </w:r>
      <w:r w:rsidR="0065522B">
        <w:rPr>
          <w:lang w:val="nl-BE"/>
        </w:rPr>
        <w:t xml:space="preserve"> </w:t>
      </w:r>
      <w:r w:rsidRPr="0062385A">
        <w:rPr>
          <w:lang w:val="nl-BE"/>
        </w:rPr>
        <w:t xml:space="preserve">ook de geplande </w:t>
      </w:r>
      <w:r w:rsidR="00F53AD0" w:rsidRPr="0062385A">
        <w:rPr>
          <w:lang w:val="nl-BE"/>
        </w:rPr>
        <w:t>aanstellingen</w:t>
      </w:r>
      <w:r w:rsidRPr="0062385A">
        <w:rPr>
          <w:lang w:val="nl-BE"/>
        </w:rPr>
        <w:t xml:space="preserve"> van referentielaboratoria en </w:t>
      </w:r>
      <w:r w:rsidR="00F53AD0" w:rsidRPr="0062385A">
        <w:rPr>
          <w:lang w:val="nl-BE"/>
        </w:rPr>
        <w:t>deskundigen</w:t>
      </w:r>
      <w:r w:rsidRPr="0062385A">
        <w:rPr>
          <w:lang w:val="nl-BE"/>
        </w:rPr>
        <w:t>panel</w:t>
      </w:r>
      <w:r w:rsidR="001F4470">
        <w:rPr>
          <w:lang w:val="nl-BE"/>
        </w:rPr>
        <w:t>s</w:t>
      </w:r>
      <w:r w:rsidRPr="0062385A">
        <w:rPr>
          <w:lang w:val="nl-BE"/>
        </w:rPr>
        <w:t xml:space="preserve"> </w:t>
      </w:r>
      <w:r w:rsidR="00FD1A10">
        <w:rPr>
          <w:lang w:val="nl-BE"/>
        </w:rPr>
        <w:t xml:space="preserve">moeten </w:t>
      </w:r>
      <w:r w:rsidR="00F53AD0" w:rsidRPr="0062385A">
        <w:rPr>
          <w:lang w:val="nl-BE"/>
        </w:rPr>
        <w:t>hebben plaatsgevonden</w:t>
      </w:r>
      <w:r w:rsidR="00E119DB" w:rsidRPr="0062385A">
        <w:rPr>
          <w:lang w:val="nl-BE"/>
        </w:rPr>
        <w:t xml:space="preserve">. </w:t>
      </w:r>
      <w:r w:rsidR="00D6589A" w:rsidRPr="0062385A">
        <w:rPr>
          <w:lang w:val="nl-BE"/>
        </w:rPr>
        <w:t xml:space="preserve">  </w:t>
      </w:r>
    </w:p>
    <w:p w14:paraId="0FA1A6D5" w14:textId="77777777" w:rsidR="0043064C" w:rsidRPr="0062385A" w:rsidRDefault="0043064C" w:rsidP="0043064C">
      <w:pPr>
        <w:rPr>
          <w:lang w:val="nl-BE"/>
        </w:rPr>
      </w:pPr>
    </w:p>
    <w:p w14:paraId="4789F758" w14:textId="551DD9CA" w:rsidR="0043064C" w:rsidRPr="0062385A" w:rsidRDefault="00F33911" w:rsidP="0043064C">
      <w:pPr>
        <w:rPr>
          <w:b/>
          <w:lang w:val="nl-BE"/>
        </w:rPr>
      </w:pPr>
      <w:r w:rsidRPr="0062385A">
        <w:rPr>
          <w:b/>
          <w:lang w:val="nl-BE"/>
        </w:rPr>
        <w:t>Aan w</w:t>
      </w:r>
      <w:r w:rsidR="00235825" w:rsidRPr="0062385A">
        <w:rPr>
          <w:b/>
          <w:lang w:val="nl-BE"/>
        </w:rPr>
        <w:t xml:space="preserve">elke vereisten moet worden </w:t>
      </w:r>
      <w:r w:rsidRPr="0062385A">
        <w:rPr>
          <w:b/>
          <w:lang w:val="nl-BE"/>
        </w:rPr>
        <w:t>voldaan</w:t>
      </w:r>
      <w:r w:rsidR="00235825" w:rsidRPr="0062385A">
        <w:rPr>
          <w:b/>
          <w:lang w:val="nl-BE"/>
        </w:rPr>
        <w:t xml:space="preserve"> om </w:t>
      </w:r>
      <w:r w:rsidR="00CC21B7">
        <w:rPr>
          <w:b/>
          <w:lang w:val="nl-BE"/>
        </w:rPr>
        <w:t xml:space="preserve">medische </w:t>
      </w:r>
      <w:r w:rsidR="001F4470">
        <w:rPr>
          <w:b/>
          <w:lang w:val="nl-BE"/>
        </w:rPr>
        <w:t xml:space="preserve">hulpmiddelen </w:t>
      </w:r>
      <w:r w:rsidR="00A656EA">
        <w:rPr>
          <w:b/>
          <w:lang w:val="nl-BE"/>
        </w:rPr>
        <w:t>conform</w:t>
      </w:r>
      <w:r w:rsidR="00235825" w:rsidRPr="0062385A">
        <w:rPr>
          <w:b/>
          <w:lang w:val="nl-BE"/>
        </w:rPr>
        <w:t xml:space="preserve"> de MDR</w:t>
      </w:r>
      <w:r w:rsidR="006F2995">
        <w:rPr>
          <w:b/>
          <w:lang w:val="nl-BE"/>
        </w:rPr>
        <w:t>-2017/045</w:t>
      </w:r>
      <w:r w:rsidR="00235825" w:rsidRPr="0062385A">
        <w:rPr>
          <w:b/>
          <w:lang w:val="nl-BE"/>
        </w:rPr>
        <w:t xml:space="preserve"> </w:t>
      </w:r>
      <w:r w:rsidR="001F4470">
        <w:rPr>
          <w:b/>
          <w:lang w:val="nl-BE"/>
        </w:rPr>
        <w:t>of</w:t>
      </w:r>
      <w:r w:rsidR="001F4470" w:rsidRPr="0062385A">
        <w:rPr>
          <w:b/>
          <w:lang w:val="nl-BE"/>
        </w:rPr>
        <w:t xml:space="preserve"> </w:t>
      </w:r>
      <w:r w:rsidR="00235825" w:rsidRPr="0062385A">
        <w:rPr>
          <w:b/>
          <w:lang w:val="nl-BE"/>
        </w:rPr>
        <w:t>IVDR</w:t>
      </w:r>
      <w:r w:rsidR="006F2995">
        <w:rPr>
          <w:b/>
          <w:lang w:val="nl-BE"/>
        </w:rPr>
        <w:t>-2017/046</w:t>
      </w:r>
      <w:r w:rsidR="00235825" w:rsidRPr="0062385A">
        <w:rPr>
          <w:b/>
          <w:lang w:val="nl-BE"/>
        </w:rPr>
        <w:t xml:space="preserve"> </w:t>
      </w:r>
      <w:r w:rsidR="001F4470">
        <w:rPr>
          <w:b/>
          <w:lang w:val="nl-BE"/>
        </w:rPr>
        <w:t xml:space="preserve">in de handel te brengen </w:t>
      </w:r>
      <w:r w:rsidR="00235825" w:rsidRPr="0062385A">
        <w:rPr>
          <w:b/>
          <w:lang w:val="nl-BE"/>
        </w:rPr>
        <w:t>vóór de datum van toepassing</w:t>
      </w:r>
      <w:r w:rsidR="006E4823" w:rsidRPr="0062385A">
        <w:rPr>
          <w:b/>
          <w:lang w:val="nl-BE"/>
        </w:rPr>
        <w:t xml:space="preserve">?  </w:t>
      </w:r>
    </w:p>
    <w:p w14:paraId="12E2CD21" w14:textId="5F3EB64E" w:rsidR="006E4823" w:rsidRPr="0062385A" w:rsidRDefault="00F33911" w:rsidP="0043064C">
      <w:pPr>
        <w:rPr>
          <w:lang w:val="nl-BE"/>
        </w:rPr>
      </w:pPr>
      <w:r w:rsidRPr="0062385A">
        <w:rPr>
          <w:lang w:val="nl-BE"/>
        </w:rPr>
        <w:t>Er moet aan a</w:t>
      </w:r>
      <w:r w:rsidR="00235825" w:rsidRPr="0062385A">
        <w:rPr>
          <w:lang w:val="nl-BE"/>
        </w:rPr>
        <w:t>lle mogelijke vereisten voldaan</w:t>
      </w:r>
      <w:r w:rsidRPr="0062385A">
        <w:rPr>
          <w:lang w:val="nl-BE"/>
        </w:rPr>
        <w:t xml:space="preserve"> zijn. Daarbij moet </w:t>
      </w:r>
      <w:r w:rsidR="00235825" w:rsidRPr="0062385A">
        <w:rPr>
          <w:lang w:val="nl-BE"/>
        </w:rPr>
        <w:t xml:space="preserve">rekening </w:t>
      </w:r>
      <w:r w:rsidRPr="0062385A">
        <w:rPr>
          <w:lang w:val="nl-BE"/>
        </w:rPr>
        <w:t>worden gehouden</w:t>
      </w:r>
      <w:r w:rsidR="00235825" w:rsidRPr="0062385A">
        <w:rPr>
          <w:lang w:val="nl-BE"/>
        </w:rPr>
        <w:t xml:space="preserve"> met </w:t>
      </w:r>
      <w:r w:rsidRPr="0062385A">
        <w:rPr>
          <w:lang w:val="nl-BE"/>
        </w:rPr>
        <w:t>het feit dat</w:t>
      </w:r>
      <w:r w:rsidR="001F4470">
        <w:rPr>
          <w:lang w:val="nl-BE"/>
        </w:rPr>
        <w:t>:</w:t>
      </w:r>
    </w:p>
    <w:p w14:paraId="21E41C85" w14:textId="03E4BCA2" w:rsidR="006E4823" w:rsidRPr="0062385A" w:rsidRDefault="006E4823" w:rsidP="00CE3D3B">
      <w:pPr>
        <w:pStyle w:val="Lijstalinea"/>
        <w:numPr>
          <w:ilvl w:val="0"/>
          <w:numId w:val="6"/>
        </w:numPr>
        <w:rPr>
          <w:rFonts w:asciiTheme="minorHAnsi" w:hAnsiTheme="minorHAnsi"/>
          <w:lang w:val="nl-BE"/>
        </w:rPr>
      </w:pPr>
      <w:proofErr w:type="spellStart"/>
      <w:r w:rsidRPr="0062385A">
        <w:rPr>
          <w:rFonts w:asciiTheme="minorHAnsi" w:hAnsiTheme="minorHAnsi"/>
          <w:lang w:val="nl-BE"/>
        </w:rPr>
        <w:t>Eudamed</w:t>
      </w:r>
      <w:proofErr w:type="spellEnd"/>
      <w:r w:rsidRPr="0062385A">
        <w:rPr>
          <w:rFonts w:asciiTheme="minorHAnsi" w:hAnsiTheme="minorHAnsi"/>
          <w:lang w:val="nl-BE"/>
        </w:rPr>
        <w:t xml:space="preserve"> </w:t>
      </w:r>
      <w:r w:rsidR="00B7005B">
        <w:rPr>
          <w:rFonts w:asciiTheme="minorHAnsi" w:hAnsiTheme="minorHAnsi"/>
          <w:lang w:val="nl-BE"/>
        </w:rPr>
        <w:t xml:space="preserve">nog </w:t>
      </w:r>
      <w:r w:rsidR="00F33911" w:rsidRPr="0062385A">
        <w:rPr>
          <w:rFonts w:asciiTheme="minorHAnsi" w:hAnsiTheme="minorHAnsi"/>
          <w:lang w:val="nl-BE"/>
        </w:rPr>
        <w:t xml:space="preserve">niet </w:t>
      </w:r>
      <w:r w:rsidR="0065522B">
        <w:rPr>
          <w:rFonts w:asciiTheme="minorHAnsi" w:hAnsiTheme="minorHAnsi"/>
          <w:lang w:val="nl-BE"/>
        </w:rPr>
        <w:t>(</w:t>
      </w:r>
      <w:r w:rsidR="001F4470">
        <w:rPr>
          <w:rFonts w:asciiTheme="minorHAnsi" w:hAnsiTheme="minorHAnsi"/>
          <w:lang w:val="nl-BE"/>
        </w:rPr>
        <w:t>volledig</w:t>
      </w:r>
      <w:r w:rsidR="0065522B">
        <w:rPr>
          <w:rFonts w:asciiTheme="minorHAnsi" w:hAnsiTheme="minorHAnsi"/>
          <w:lang w:val="nl-BE"/>
        </w:rPr>
        <w:t>)</w:t>
      </w:r>
      <w:r w:rsidR="001F4470">
        <w:rPr>
          <w:rFonts w:asciiTheme="minorHAnsi" w:hAnsiTheme="minorHAnsi"/>
          <w:lang w:val="nl-BE"/>
        </w:rPr>
        <w:t xml:space="preserve"> </w:t>
      </w:r>
      <w:r w:rsidR="00F33911" w:rsidRPr="0062385A">
        <w:rPr>
          <w:rFonts w:asciiTheme="minorHAnsi" w:hAnsiTheme="minorHAnsi"/>
          <w:lang w:val="nl-BE"/>
        </w:rPr>
        <w:t>functioneel is</w:t>
      </w:r>
      <w:r w:rsidRPr="0062385A">
        <w:rPr>
          <w:rFonts w:asciiTheme="minorHAnsi" w:hAnsiTheme="minorHAnsi"/>
          <w:lang w:val="nl-BE"/>
        </w:rPr>
        <w:t xml:space="preserve"> </w:t>
      </w:r>
    </w:p>
    <w:p w14:paraId="4726D044" w14:textId="228E8E1E" w:rsidR="006E4823" w:rsidRPr="0062385A" w:rsidRDefault="00F33911" w:rsidP="00F33911">
      <w:pPr>
        <w:pStyle w:val="Lijstalinea"/>
        <w:numPr>
          <w:ilvl w:val="0"/>
          <w:numId w:val="6"/>
        </w:numPr>
        <w:rPr>
          <w:rFonts w:asciiTheme="minorHAnsi" w:hAnsiTheme="minorHAnsi"/>
          <w:lang w:val="nl-BE"/>
        </w:rPr>
      </w:pPr>
      <w:r w:rsidRPr="0062385A">
        <w:rPr>
          <w:rFonts w:asciiTheme="minorHAnsi" w:hAnsiTheme="minorHAnsi"/>
          <w:lang w:val="nl-BE"/>
        </w:rPr>
        <w:t>De verordening niet volledig van toepassing is</w:t>
      </w:r>
      <w:r w:rsidR="006E4823" w:rsidRPr="0062385A">
        <w:rPr>
          <w:rFonts w:asciiTheme="minorHAnsi" w:hAnsiTheme="minorHAnsi"/>
          <w:lang w:val="nl-BE"/>
        </w:rPr>
        <w:t xml:space="preserve"> </w:t>
      </w:r>
    </w:p>
    <w:p w14:paraId="37109227" w14:textId="616B8E77" w:rsidR="006E4823" w:rsidRPr="0062385A" w:rsidRDefault="00F33911" w:rsidP="00CE3D3B">
      <w:pPr>
        <w:rPr>
          <w:lang w:val="nl-BE"/>
        </w:rPr>
      </w:pPr>
      <w:r w:rsidRPr="0062385A">
        <w:rPr>
          <w:lang w:val="nl-BE"/>
        </w:rPr>
        <w:t>Algemeen beschouwd</w:t>
      </w:r>
      <w:r w:rsidR="009D1E9F">
        <w:rPr>
          <w:lang w:val="nl-BE"/>
        </w:rPr>
        <w:t>,</w:t>
      </w:r>
      <w:r w:rsidRPr="0062385A">
        <w:rPr>
          <w:lang w:val="nl-BE"/>
        </w:rPr>
        <w:t xml:space="preserve"> betekent dit dat</w:t>
      </w:r>
      <w:r w:rsidR="00CE3D3B" w:rsidRPr="0062385A">
        <w:rPr>
          <w:lang w:val="nl-BE"/>
        </w:rPr>
        <w:t xml:space="preserve">: </w:t>
      </w:r>
    </w:p>
    <w:p w14:paraId="11C3A6A8" w14:textId="14D1A1AB" w:rsidR="00CE3D3B" w:rsidRPr="0062385A" w:rsidRDefault="00F523FA" w:rsidP="00F523FA">
      <w:pPr>
        <w:pStyle w:val="Lijstalinea"/>
        <w:numPr>
          <w:ilvl w:val="0"/>
          <w:numId w:val="6"/>
        </w:numPr>
        <w:rPr>
          <w:rFonts w:asciiTheme="minorHAnsi" w:hAnsiTheme="minorHAnsi"/>
          <w:lang w:val="nl-BE"/>
        </w:rPr>
      </w:pPr>
      <w:r w:rsidRPr="0062385A">
        <w:rPr>
          <w:rFonts w:asciiTheme="minorHAnsi" w:hAnsiTheme="minorHAnsi"/>
          <w:lang w:val="nl-BE"/>
        </w:rPr>
        <w:t>Het</w:t>
      </w:r>
      <w:r w:rsidR="00CC21B7">
        <w:rPr>
          <w:rFonts w:asciiTheme="minorHAnsi" w:hAnsiTheme="minorHAnsi"/>
          <w:lang w:val="nl-BE"/>
        </w:rPr>
        <w:t xml:space="preserve"> medisch</w:t>
      </w:r>
      <w:r w:rsidR="00DA0A2C">
        <w:rPr>
          <w:rFonts w:asciiTheme="minorHAnsi" w:hAnsiTheme="minorHAnsi"/>
          <w:lang w:val="nl-BE"/>
        </w:rPr>
        <w:t xml:space="preserve"> </w:t>
      </w:r>
      <w:r w:rsidRPr="0062385A">
        <w:rPr>
          <w:rFonts w:asciiTheme="minorHAnsi" w:hAnsiTheme="minorHAnsi"/>
          <w:lang w:val="nl-BE"/>
        </w:rPr>
        <w:t xml:space="preserve">hulpmiddel moet voldoen aan de algemene veiligheids- en prestatie-eisen opgesomd in bijlage I </w:t>
      </w:r>
      <w:r w:rsidR="00C124F6">
        <w:rPr>
          <w:rFonts w:asciiTheme="minorHAnsi" w:hAnsiTheme="minorHAnsi"/>
          <w:lang w:val="nl-BE"/>
        </w:rPr>
        <w:t>van</w:t>
      </w:r>
      <w:r w:rsidR="00C124F6" w:rsidRPr="0062385A">
        <w:rPr>
          <w:rFonts w:asciiTheme="minorHAnsi" w:hAnsiTheme="minorHAnsi"/>
          <w:lang w:val="nl-BE"/>
        </w:rPr>
        <w:t xml:space="preserve"> </w:t>
      </w:r>
      <w:r w:rsidRPr="0062385A">
        <w:rPr>
          <w:rFonts w:asciiTheme="minorHAnsi" w:hAnsiTheme="minorHAnsi"/>
          <w:lang w:val="nl-BE"/>
        </w:rPr>
        <w:t>de MDR</w:t>
      </w:r>
      <w:r w:rsidR="005F0E3E">
        <w:rPr>
          <w:rFonts w:asciiTheme="minorHAnsi" w:hAnsiTheme="minorHAnsi"/>
          <w:lang w:val="nl-BE"/>
        </w:rPr>
        <w:t>-2017/045</w:t>
      </w:r>
      <w:r w:rsidRPr="0062385A">
        <w:rPr>
          <w:rFonts w:asciiTheme="minorHAnsi" w:hAnsiTheme="minorHAnsi"/>
          <w:lang w:val="nl-BE"/>
        </w:rPr>
        <w:t xml:space="preserve"> of IVDR</w:t>
      </w:r>
      <w:r w:rsidR="005F0E3E">
        <w:rPr>
          <w:rFonts w:asciiTheme="minorHAnsi" w:hAnsiTheme="minorHAnsi"/>
          <w:lang w:val="nl-BE"/>
        </w:rPr>
        <w:t>-2017/046</w:t>
      </w:r>
      <w:r w:rsidR="00923121">
        <w:rPr>
          <w:rFonts w:asciiTheme="minorHAnsi" w:hAnsiTheme="minorHAnsi"/>
          <w:lang w:val="nl-BE"/>
        </w:rPr>
        <w:t xml:space="preserve"> (inclusief verpakkingseisen)</w:t>
      </w:r>
      <w:r w:rsidR="00FD1A10">
        <w:rPr>
          <w:rFonts w:asciiTheme="minorHAnsi" w:hAnsiTheme="minorHAnsi"/>
          <w:lang w:val="nl-BE"/>
        </w:rPr>
        <w:t>.</w:t>
      </w:r>
    </w:p>
    <w:p w14:paraId="19B83819" w14:textId="6E71F0A8" w:rsidR="00F523FA" w:rsidRDefault="00F523FA" w:rsidP="00F523FA">
      <w:pPr>
        <w:pStyle w:val="Lijstalinea"/>
        <w:numPr>
          <w:ilvl w:val="0"/>
          <w:numId w:val="6"/>
        </w:numPr>
        <w:rPr>
          <w:rFonts w:asciiTheme="minorHAnsi" w:hAnsiTheme="minorHAnsi"/>
          <w:lang w:val="nl-BE"/>
        </w:rPr>
      </w:pPr>
      <w:r w:rsidRPr="0062385A">
        <w:rPr>
          <w:rFonts w:asciiTheme="minorHAnsi" w:hAnsiTheme="minorHAnsi"/>
          <w:lang w:val="nl-BE"/>
        </w:rPr>
        <w:t>De fabrikant verklaart te voldoen aan de conformiteitsbeoordel</w:t>
      </w:r>
      <w:r w:rsidR="00D17A25">
        <w:rPr>
          <w:rFonts w:asciiTheme="minorHAnsi" w:hAnsiTheme="minorHAnsi"/>
          <w:lang w:val="nl-BE"/>
        </w:rPr>
        <w:t>ingsprocedure bedoeld in art.</w:t>
      </w:r>
      <w:r w:rsidRPr="0062385A">
        <w:rPr>
          <w:rFonts w:asciiTheme="minorHAnsi" w:hAnsiTheme="minorHAnsi"/>
          <w:lang w:val="nl-BE"/>
        </w:rPr>
        <w:t xml:space="preserve"> 52 van de MDR</w:t>
      </w:r>
      <w:r w:rsidR="005F0E3E">
        <w:rPr>
          <w:rFonts w:asciiTheme="minorHAnsi" w:hAnsiTheme="minorHAnsi"/>
          <w:lang w:val="nl-BE"/>
        </w:rPr>
        <w:t>-2017/045</w:t>
      </w:r>
      <w:r w:rsidRPr="0062385A">
        <w:rPr>
          <w:rFonts w:asciiTheme="minorHAnsi" w:hAnsiTheme="minorHAnsi"/>
          <w:lang w:val="nl-BE"/>
        </w:rPr>
        <w:t xml:space="preserve"> of </w:t>
      </w:r>
      <w:r w:rsidR="00D17A25">
        <w:rPr>
          <w:rFonts w:asciiTheme="minorHAnsi" w:hAnsiTheme="minorHAnsi"/>
          <w:lang w:val="nl-BE"/>
        </w:rPr>
        <w:t xml:space="preserve">art. </w:t>
      </w:r>
      <w:r w:rsidRPr="0062385A">
        <w:rPr>
          <w:rFonts w:asciiTheme="minorHAnsi" w:hAnsiTheme="minorHAnsi"/>
          <w:lang w:val="nl-BE"/>
        </w:rPr>
        <w:t>48 van de IVDR</w:t>
      </w:r>
      <w:r w:rsidR="005F0E3E">
        <w:rPr>
          <w:rFonts w:asciiTheme="minorHAnsi" w:hAnsiTheme="minorHAnsi"/>
          <w:lang w:val="nl-BE"/>
        </w:rPr>
        <w:t>-2017/046</w:t>
      </w:r>
      <w:r w:rsidRPr="0062385A">
        <w:rPr>
          <w:rFonts w:asciiTheme="minorHAnsi" w:hAnsiTheme="minorHAnsi"/>
          <w:lang w:val="nl-BE"/>
        </w:rPr>
        <w:t xml:space="preserve">. In het geval van </w:t>
      </w:r>
      <w:r w:rsidR="00FD1A10">
        <w:rPr>
          <w:rFonts w:asciiTheme="minorHAnsi" w:hAnsiTheme="minorHAnsi"/>
          <w:lang w:val="nl-BE"/>
        </w:rPr>
        <w:t xml:space="preserve">medische </w:t>
      </w:r>
      <w:r w:rsidRPr="0062385A">
        <w:rPr>
          <w:rFonts w:asciiTheme="minorHAnsi" w:hAnsiTheme="minorHAnsi"/>
          <w:lang w:val="nl-BE"/>
        </w:rPr>
        <w:t>hulpmiddelen van klasse I</w:t>
      </w:r>
      <w:r w:rsidR="00C124F6">
        <w:rPr>
          <w:rFonts w:asciiTheme="minorHAnsi" w:hAnsiTheme="minorHAnsi"/>
          <w:lang w:val="nl-BE"/>
        </w:rPr>
        <w:t>,</w:t>
      </w:r>
      <w:r w:rsidRPr="0062385A">
        <w:rPr>
          <w:rFonts w:asciiTheme="minorHAnsi" w:hAnsiTheme="minorHAnsi"/>
          <w:lang w:val="nl-BE"/>
        </w:rPr>
        <w:t xml:space="preserve"> of </w:t>
      </w:r>
      <w:proofErr w:type="spellStart"/>
      <w:r w:rsidR="00FD1A10">
        <w:rPr>
          <w:rFonts w:asciiTheme="minorHAnsi" w:hAnsiTheme="minorHAnsi"/>
          <w:lang w:val="nl-BE"/>
        </w:rPr>
        <w:t>IVDs</w:t>
      </w:r>
      <w:proofErr w:type="spellEnd"/>
      <w:r w:rsidR="00FD1A10">
        <w:rPr>
          <w:rFonts w:asciiTheme="minorHAnsi" w:hAnsiTheme="minorHAnsi"/>
          <w:lang w:val="nl-BE"/>
        </w:rPr>
        <w:t xml:space="preserve"> </w:t>
      </w:r>
      <w:r w:rsidR="00CA23C7">
        <w:rPr>
          <w:rFonts w:asciiTheme="minorHAnsi" w:hAnsiTheme="minorHAnsi"/>
          <w:lang w:val="nl-BE"/>
        </w:rPr>
        <w:t xml:space="preserve">van klasse </w:t>
      </w:r>
      <w:r w:rsidRPr="0062385A">
        <w:rPr>
          <w:rFonts w:asciiTheme="minorHAnsi" w:hAnsiTheme="minorHAnsi"/>
          <w:lang w:val="nl-BE"/>
        </w:rPr>
        <w:t xml:space="preserve">A, waarvoor geen tussenkomst van een aangemelde instantie vereist is, </w:t>
      </w:r>
      <w:r w:rsidR="00FD1A10" w:rsidRPr="0062385A">
        <w:rPr>
          <w:rFonts w:asciiTheme="minorHAnsi" w:hAnsiTheme="minorHAnsi"/>
          <w:lang w:val="nl-BE"/>
        </w:rPr>
        <w:t>bevestig</w:t>
      </w:r>
      <w:r w:rsidR="00FD1A10">
        <w:rPr>
          <w:rFonts w:asciiTheme="minorHAnsi" w:hAnsiTheme="minorHAnsi"/>
          <w:lang w:val="nl-BE"/>
        </w:rPr>
        <w:t>t</w:t>
      </w:r>
      <w:r w:rsidR="00FD1A10" w:rsidRPr="0062385A">
        <w:rPr>
          <w:rFonts w:asciiTheme="minorHAnsi" w:hAnsiTheme="minorHAnsi"/>
          <w:lang w:val="nl-BE"/>
        </w:rPr>
        <w:t xml:space="preserve"> </w:t>
      </w:r>
      <w:r w:rsidRPr="0062385A">
        <w:rPr>
          <w:rFonts w:asciiTheme="minorHAnsi" w:hAnsiTheme="minorHAnsi"/>
          <w:lang w:val="nl-BE"/>
        </w:rPr>
        <w:t>de fabrikant de conformiteit door de EU-</w:t>
      </w:r>
      <w:r w:rsidRPr="0062385A">
        <w:rPr>
          <w:rFonts w:asciiTheme="minorHAnsi" w:hAnsiTheme="minorHAnsi"/>
          <w:lang w:val="nl-BE"/>
        </w:rPr>
        <w:lastRenderedPageBreak/>
        <w:t>conformite</w:t>
      </w:r>
      <w:r w:rsidR="00D17A25">
        <w:rPr>
          <w:rFonts w:asciiTheme="minorHAnsi" w:hAnsiTheme="minorHAnsi"/>
          <w:lang w:val="nl-BE"/>
        </w:rPr>
        <w:t>itsverklaring bedoeld in art.</w:t>
      </w:r>
      <w:r w:rsidRPr="0062385A">
        <w:rPr>
          <w:rFonts w:asciiTheme="minorHAnsi" w:hAnsiTheme="minorHAnsi"/>
          <w:lang w:val="nl-BE"/>
        </w:rPr>
        <w:t xml:space="preserve"> 19 van de MDR</w:t>
      </w:r>
      <w:r w:rsidR="005F0E3E">
        <w:rPr>
          <w:rFonts w:asciiTheme="minorHAnsi" w:hAnsiTheme="minorHAnsi"/>
          <w:lang w:val="nl-BE"/>
        </w:rPr>
        <w:t>-2017/045</w:t>
      </w:r>
      <w:r w:rsidRPr="0062385A">
        <w:rPr>
          <w:rFonts w:asciiTheme="minorHAnsi" w:hAnsiTheme="minorHAnsi"/>
          <w:lang w:val="nl-BE"/>
        </w:rPr>
        <w:t xml:space="preserve"> of 17 van de IVDR</w:t>
      </w:r>
      <w:r w:rsidR="005F0E3E">
        <w:rPr>
          <w:rFonts w:asciiTheme="minorHAnsi" w:hAnsiTheme="minorHAnsi"/>
          <w:lang w:val="nl-BE"/>
        </w:rPr>
        <w:t>-2017/046</w:t>
      </w:r>
      <w:r w:rsidRPr="0062385A">
        <w:rPr>
          <w:rFonts w:asciiTheme="minorHAnsi" w:hAnsiTheme="minorHAnsi"/>
          <w:lang w:val="nl-BE"/>
        </w:rPr>
        <w:t xml:space="preserve"> op te stellen.  </w:t>
      </w:r>
    </w:p>
    <w:p w14:paraId="0E19455F" w14:textId="32578C52" w:rsidR="00831A99" w:rsidRDefault="0065522B" w:rsidP="00F523FA">
      <w:pPr>
        <w:pStyle w:val="Lijstalinea"/>
        <w:numPr>
          <w:ilvl w:val="0"/>
          <w:numId w:val="6"/>
        </w:numPr>
        <w:rPr>
          <w:rFonts w:asciiTheme="minorHAnsi" w:hAnsiTheme="minorHAnsi"/>
          <w:lang w:val="nl-BE"/>
        </w:rPr>
      </w:pPr>
      <w:r>
        <w:rPr>
          <w:rFonts w:asciiTheme="minorHAnsi" w:hAnsiTheme="minorHAnsi"/>
          <w:lang w:val="nl-BE"/>
        </w:rPr>
        <w:t>Voor medische hulpmiddelen naar maat moet de fabrikant een verklaring volgens bijlage XIII van de MDR</w:t>
      </w:r>
      <w:r w:rsidR="005F0E3E">
        <w:rPr>
          <w:rFonts w:asciiTheme="minorHAnsi" w:hAnsiTheme="minorHAnsi"/>
          <w:lang w:val="nl-BE"/>
        </w:rPr>
        <w:t>-2017/045</w:t>
      </w:r>
      <w:r>
        <w:rPr>
          <w:rFonts w:asciiTheme="minorHAnsi" w:hAnsiTheme="minorHAnsi"/>
          <w:lang w:val="nl-BE"/>
        </w:rPr>
        <w:t xml:space="preserve"> op.</w:t>
      </w:r>
    </w:p>
    <w:p w14:paraId="06391630" w14:textId="2187638A" w:rsidR="0065522B" w:rsidRPr="003F2C5F" w:rsidRDefault="0065522B" w:rsidP="003F2C5F">
      <w:pPr>
        <w:pStyle w:val="Lijstalinea"/>
        <w:numPr>
          <w:ilvl w:val="0"/>
          <w:numId w:val="6"/>
        </w:numPr>
        <w:rPr>
          <w:rFonts w:asciiTheme="minorHAnsi" w:hAnsiTheme="minorHAnsi"/>
          <w:lang w:val="nl-BE"/>
        </w:rPr>
      </w:pPr>
      <w:r>
        <w:rPr>
          <w:rFonts w:asciiTheme="minorHAnsi" w:hAnsiTheme="minorHAnsi"/>
          <w:lang w:val="nl-BE"/>
        </w:rPr>
        <w:t xml:space="preserve"> Voor systemen en behandelingspakke</w:t>
      </w:r>
      <w:r w:rsidR="00D603A9">
        <w:rPr>
          <w:rFonts w:asciiTheme="minorHAnsi" w:hAnsiTheme="minorHAnsi"/>
          <w:lang w:val="nl-BE"/>
        </w:rPr>
        <w:t>t</w:t>
      </w:r>
      <w:r>
        <w:rPr>
          <w:rFonts w:asciiTheme="minorHAnsi" w:hAnsiTheme="minorHAnsi"/>
          <w:lang w:val="nl-BE"/>
        </w:rPr>
        <w:t>ten stelt</w:t>
      </w:r>
      <w:r w:rsidR="00D603A9">
        <w:rPr>
          <w:rFonts w:asciiTheme="minorHAnsi" w:hAnsiTheme="minorHAnsi"/>
          <w:lang w:val="nl-BE"/>
        </w:rPr>
        <w:t xml:space="preserve"> de fabrika</w:t>
      </w:r>
      <w:r w:rsidR="00D17A25">
        <w:rPr>
          <w:rFonts w:asciiTheme="minorHAnsi" w:hAnsiTheme="minorHAnsi"/>
          <w:lang w:val="nl-BE"/>
        </w:rPr>
        <w:t>nt een verklaring volgens art.</w:t>
      </w:r>
      <w:r w:rsidR="00D603A9">
        <w:rPr>
          <w:rFonts w:asciiTheme="minorHAnsi" w:hAnsiTheme="minorHAnsi"/>
          <w:lang w:val="nl-BE"/>
        </w:rPr>
        <w:t xml:space="preserve"> 22 van de MDR</w:t>
      </w:r>
      <w:r w:rsidR="005F0E3E">
        <w:rPr>
          <w:rFonts w:asciiTheme="minorHAnsi" w:hAnsiTheme="minorHAnsi"/>
          <w:lang w:val="nl-BE"/>
        </w:rPr>
        <w:t>-2017/045</w:t>
      </w:r>
      <w:r w:rsidR="00D603A9">
        <w:rPr>
          <w:rFonts w:asciiTheme="minorHAnsi" w:hAnsiTheme="minorHAnsi"/>
          <w:lang w:val="nl-BE"/>
        </w:rPr>
        <w:t xml:space="preserve"> op. </w:t>
      </w:r>
      <w:r w:rsidR="00831A99">
        <w:rPr>
          <w:rFonts w:asciiTheme="minorHAnsi" w:hAnsiTheme="minorHAnsi"/>
          <w:lang w:val="nl-BE"/>
        </w:rPr>
        <w:t>Voor een systeem, kit of een behandelingspakket dienen alle</w:t>
      </w:r>
      <w:r w:rsidR="00DA0A2C">
        <w:rPr>
          <w:rFonts w:asciiTheme="minorHAnsi" w:hAnsiTheme="minorHAnsi"/>
          <w:lang w:val="nl-BE"/>
        </w:rPr>
        <w:t xml:space="preserve"> medische</w:t>
      </w:r>
      <w:r w:rsidR="00831A99">
        <w:rPr>
          <w:rFonts w:asciiTheme="minorHAnsi" w:hAnsiTheme="minorHAnsi"/>
          <w:lang w:val="nl-BE"/>
        </w:rPr>
        <w:t xml:space="preserve"> hulpmiddelen te voldoen aan de MDR</w:t>
      </w:r>
      <w:r w:rsidR="005F0E3E">
        <w:rPr>
          <w:rFonts w:asciiTheme="minorHAnsi" w:hAnsiTheme="minorHAnsi"/>
          <w:lang w:val="nl-BE"/>
        </w:rPr>
        <w:t>-2017/045</w:t>
      </w:r>
      <w:r w:rsidR="00831A99">
        <w:rPr>
          <w:rFonts w:asciiTheme="minorHAnsi" w:hAnsiTheme="minorHAnsi"/>
          <w:lang w:val="nl-BE"/>
        </w:rPr>
        <w:t xml:space="preserve"> en/of IVDR</w:t>
      </w:r>
      <w:r w:rsidR="005F0E3E">
        <w:rPr>
          <w:rFonts w:asciiTheme="minorHAnsi" w:hAnsiTheme="minorHAnsi"/>
          <w:lang w:val="nl-BE"/>
        </w:rPr>
        <w:t>-2017/046</w:t>
      </w:r>
    </w:p>
    <w:p w14:paraId="50925CC0" w14:textId="77777777" w:rsidR="003F2C5F" w:rsidRDefault="003F2C5F" w:rsidP="003F2C5F">
      <w:pPr>
        <w:rPr>
          <w:lang w:val="nl-BE"/>
        </w:rPr>
      </w:pPr>
    </w:p>
    <w:p w14:paraId="556AC19B" w14:textId="1E286962" w:rsidR="00ED14E4" w:rsidRPr="003F2C5F" w:rsidRDefault="00091C9C" w:rsidP="003F2C5F">
      <w:pPr>
        <w:rPr>
          <w:lang w:val="nl-BE"/>
        </w:rPr>
      </w:pPr>
      <w:r w:rsidRPr="003F2C5F">
        <w:rPr>
          <w:lang w:val="nl-BE"/>
        </w:rPr>
        <w:t>Deze</w:t>
      </w:r>
      <w:r w:rsidR="00F523FA" w:rsidRPr="003F2C5F">
        <w:rPr>
          <w:lang w:val="nl-BE"/>
        </w:rPr>
        <w:t xml:space="preserve"> verklaring </w:t>
      </w:r>
      <w:r w:rsidRPr="003F2C5F">
        <w:rPr>
          <w:lang w:val="nl-BE"/>
        </w:rPr>
        <w:t xml:space="preserve">verbindt </w:t>
      </w:r>
      <w:r w:rsidR="00F523FA" w:rsidRPr="003F2C5F">
        <w:rPr>
          <w:lang w:val="nl-BE"/>
        </w:rPr>
        <w:t>de fabrikant ertoe  om minste</w:t>
      </w:r>
      <w:r w:rsidR="003E371D" w:rsidRPr="003F2C5F">
        <w:rPr>
          <w:lang w:val="nl-BE"/>
        </w:rPr>
        <w:t>ns</w:t>
      </w:r>
      <w:r w:rsidR="00F523FA" w:rsidRPr="003F2C5F">
        <w:rPr>
          <w:lang w:val="nl-BE"/>
        </w:rPr>
        <w:t xml:space="preserve"> op de volgende gebieden (niet</w:t>
      </w:r>
      <w:r w:rsidR="003E371D" w:rsidRPr="003F2C5F">
        <w:rPr>
          <w:lang w:val="nl-BE"/>
        </w:rPr>
        <w:t>-beperkende lijst</w:t>
      </w:r>
      <w:r w:rsidR="00F523FA" w:rsidRPr="003F2C5F">
        <w:rPr>
          <w:lang w:val="nl-BE"/>
        </w:rPr>
        <w:t>) aan de MDR/IVDR-vereisten te voldoen</w:t>
      </w:r>
      <w:r w:rsidR="003E371D" w:rsidRPr="003F2C5F">
        <w:rPr>
          <w:lang w:val="nl-BE"/>
        </w:rPr>
        <w:t>:</w:t>
      </w:r>
      <w:r w:rsidR="00ED14E4" w:rsidRPr="003F2C5F">
        <w:rPr>
          <w:lang w:val="nl-BE"/>
        </w:rPr>
        <w:t xml:space="preserve"> </w:t>
      </w:r>
    </w:p>
    <w:p w14:paraId="4E948BE3" w14:textId="699A634F" w:rsidR="003E371D" w:rsidRPr="003F2C5F" w:rsidRDefault="003E371D" w:rsidP="003F2C5F">
      <w:pPr>
        <w:pStyle w:val="Lijstalinea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lang w:val="nl-BE"/>
        </w:rPr>
      </w:pPr>
      <w:r w:rsidRPr="003F2C5F">
        <w:rPr>
          <w:rFonts w:asciiTheme="minorHAnsi" w:hAnsiTheme="minorHAnsi" w:cstheme="minorHAnsi"/>
          <w:lang w:val="nl-BE"/>
        </w:rPr>
        <w:t>Klinisch</w:t>
      </w:r>
      <w:r w:rsidR="00C124F6" w:rsidRPr="003F2C5F">
        <w:rPr>
          <w:rFonts w:asciiTheme="minorHAnsi" w:hAnsiTheme="minorHAnsi" w:cstheme="minorHAnsi"/>
          <w:lang w:val="nl-BE"/>
        </w:rPr>
        <w:t xml:space="preserve">e </w:t>
      </w:r>
      <w:r w:rsidR="00D959D5" w:rsidRPr="003F2C5F">
        <w:rPr>
          <w:rFonts w:asciiTheme="minorHAnsi" w:hAnsiTheme="minorHAnsi" w:cstheme="minorHAnsi"/>
          <w:lang w:val="nl-BE"/>
        </w:rPr>
        <w:t>evaluatie</w:t>
      </w:r>
      <w:r w:rsidRPr="003F2C5F">
        <w:rPr>
          <w:rFonts w:asciiTheme="minorHAnsi" w:hAnsiTheme="minorHAnsi" w:cstheme="minorHAnsi"/>
          <w:lang w:val="nl-BE"/>
        </w:rPr>
        <w:t>/</w:t>
      </w:r>
      <w:r w:rsidR="00C124F6" w:rsidRPr="003F2C5F">
        <w:rPr>
          <w:rFonts w:asciiTheme="minorHAnsi" w:hAnsiTheme="minorHAnsi" w:cstheme="minorHAnsi"/>
          <w:lang w:val="nl-BE"/>
        </w:rPr>
        <w:t>prestatie-evaluatie</w:t>
      </w:r>
    </w:p>
    <w:p w14:paraId="33C768B2" w14:textId="77777777" w:rsidR="003E371D" w:rsidRPr="003F2C5F" w:rsidRDefault="003E371D" w:rsidP="003F2C5F">
      <w:pPr>
        <w:pStyle w:val="Lijstalinea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lang w:val="nl-BE"/>
        </w:rPr>
      </w:pPr>
      <w:r w:rsidRPr="003F2C5F">
        <w:rPr>
          <w:rFonts w:asciiTheme="minorHAnsi" w:hAnsiTheme="minorHAnsi" w:cstheme="minorHAnsi"/>
          <w:lang w:val="nl-BE"/>
        </w:rPr>
        <w:t>Risicobeheer</w:t>
      </w:r>
    </w:p>
    <w:p w14:paraId="0408375B" w14:textId="1537D4E0" w:rsidR="003E371D" w:rsidRPr="003F2C5F" w:rsidRDefault="005753FD" w:rsidP="003F2C5F">
      <w:pPr>
        <w:pStyle w:val="Lijstalinea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lang w:val="nl-BE"/>
        </w:rPr>
      </w:pPr>
      <w:r w:rsidRPr="003F2C5F">
        <w:rPr>
          <w:rFonts w:asciiTheme="minorHAnsi" w:hAnsiTheme="minorHAnsi" w:cstheme="minorHAnsi"/>
          <w:lang w:val="nl-BE"/>
        </w:rPr>
        <w:t>Kwaliteitssysteem</w:t>
      </w:r>
    </w:p>
    <w:p w14:paraId="4A40447F" w14:textId="755C137F" w:rsidR="003E371D" w:rsidRPr="003F2C5F" w:rsidRDefault="00ED2492" w:rsidP="003F2C5F">
      <w:pPr>
        <w:pStyle w:val="Lijstalinea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lang w:val="fr-BE"/>
        </w:rPr>
      </w:pPr>
      <w:r w:rsidRPr="003F2C5F">
        <w:rPr>
          <w:rFonts w:asciiTheme="minorHAnsi" w:hAnsiTheme="minorHAnsi" w:cstheme="minorHAnsi"/>
          <w:lang w:val="fr-BE"/>
        </w:rPr>
        <w:t>Post-</w:t>
      </w:r>
      <w:proofErr w:type="spellStart"/>
      <w:r w:rsidRPr="003F2C5F">
        <w:rPr>
          <w:rFonts w:asciiTheme="minorHAnsi" w:hAnsiTheme="minorHAnsi" w:cstheme="minorHAnsi"/>
          <w:lang w:val="fr-BE"/>
        </w:rPr>
        <w:t>market</w:t>
      </w:r>
      <w:proofErr w:type="spellEnd"/>
      <w:r w:rsidRPr="003F2C5F">
        <w:rPr>
          <w:rFonts w:asciiTheme="minorHAnsi" w:hAnsiTheme="minorHAnsi" w:cstheme="minorHAnsi"/>
          <w:lang w:val="fr-BE"/>
        </w:rPr>
        <w:t xml:space="preserve"> surveillance en </w:t>
      </w:r>
      <w:proofErr w:type="spellStart"/>
      <w:r w:rsidRPr="003F2C5F">
        <w:rPr>
          <w:rFonts w:asciiTheme="minorHAnsi" w:hAnsiTheme="minorHAnsi" w:cstheme="minorHAnsi"/>
          <w:lang w:val="fr-BE"/>
        </w:rPr>
        <w:t>vigilantie</w:t>
      </w:r>
      <w:proofErr w:type="spellEnd"/>
      <w:r w:rsidRPr="003F2C5F">
        <w:rPr>
          <w:rFonts w:asciiTheme="minorHAnsi" w:hAnsiTheme="minorHAnsi" w:cstheme="minorHAnsi"/>
          <w:lang w:val="fr-BE"/>
        </w:rPr>
        <w:t xml:space="preserve"> </w:t>
      </w:r>
      <w:proofErr w:type="spellStart"/>
      <w:r w:rsidRPr="003F2C5F">
        <w:rPr>
          <w:rFonts w:asciiTheme="minorHAnsi" w:hAnsiTheme="minorHAnsi" w:cstheme="minorHAnsi"/>
          <w:lang w:val="fr-BE"/>
        </w:rPr>
        <w:t>vereisten</w:t>
      </w:r>
      <w:proofErr w:type="spellEnd"/>
    </w:p>
    <w:p w14:paraId="1E909CF2" w14:textId="6B7B7206" w:rsidR="003E371D" w:rsidRPr="003F2C5F" w:rsidRDefault="003E371D" w:rsidP="003F2C5F">
      <w:pPr>
        <w:pStyle w:val="Lijstalinea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lang w:val="nl-BE"/>
        </w:rPr>
      </w:pPr>
      <w:r w:rsidRPr="003F2C5F">
        <w:rPr>
          <w:rFonts w:asciiTheme="minorHAnsi" w:hAnsiTheme="minorHAnsi" w:cstheme="minorHAnsi"/>
          <w:lang w:val="nl-BE"/>
        </w:rPr>
        <w:t xml:space="preserve">Technische documentatie en andere </w:t>
      </w:r>
      <w:r w:rsidR="005753FD" w:rsidRPr="003F2C5F">
        <w:rPr>
          <w:rFonts w:asciiTheme="minorHAnsi" w:hAnsiTheme="minorHAnsi" w:cstheme="minorHAnsi"/>
          <w:lang w:val="nl-BE"/>
        </w:rPr>
        <w:t>rapporten</w:t>
      </w:r>
      <w:r w:rsidRPr="003F2C5F">
        <w:rPr>
          <w:rFonts w:asciiTheme="minorHAnsi" w:hAnsiTheme="minorHAnsi" w:cstheme="minorHAnsi"/>
          <w:lang w:val="nl-BE"/>
        </w:rPr>
        <w:t xml:space="preserve"> </w:t>
      </w:r>
    </w:p>
    <w:p w14:paraId="6B2E57FE" w14:textId="0E0E1B31" w:rsidR="003E371D" w:rsidRPr="003F2C5F" w:rsidRDefault="003E371D" w:rsidP="003F2C5F">
      <w:pPr>
        <w:pStyle w:val="Lijstalinea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lang w:val="nl-BE"/>
        </w:rPr>
      </w:pPr>
      <w:r w:rsidRPr="003F2C5F">
        <w:rPr>
          <w:rFonts w:asciiTheme="minorHAnsi" w:hAnsiTheme="minorHAnsi" w:cstheme="minorHAnsi"/>
          <w:lang w:val="nl-BE"/>
        </w:rPr>
        <w:t>Aansprakelijkheid</w:t>
      </w:r>
      <w:r w:rsidR="00D959D5" w:rsidRPr="003F2C5F">
        <w:rPr>
          <w:rFonts w:asciiTheme="minorHAnsi" w:hAnsiTheme="minorHAnsi" w:cstheme="minorHAnsi"/>
          <w:lang w:val="nl-BE"/>
        </w:rPr>
        <w:t xml:space="preserve"> </w:t>
      </w:r>
      <w:r w:rsidR="005753FD" w:rsidRPr="003F2C5F">
        <w:rPr>
          <w:rFonts w:asciiTheme="minorHAnsi" w:hAnsiTheme="minorHAnsi" w:cstheme="minorHAnsi"/>
          <w:lang w:val="nl-BE"/>
        </w:rPr>
        <w:t xml:space="preserve">in geval van </w:t>
      </w:r>
      <w:r w:rsidRPr="003F2C5F">
        <w:rPr>
          <w:rFonts w:asciiTheme="minorHAnsi" w:hAnsiTheme="minorHAnsi" w:cstheme="minorHAnsi"/>
          <w:lang w:val="nl-BE"/>
        </w:rPr>
        <w:t xml:space="preserve">defecte </w:t>
      </w:r>
      <w:r w:rsidR="00CC21B7" w:rsidRPr="003F2C5F">
        <w:rPr>
          <w:rFonts w:asciiTheme="minorHAnsi" w:hAnsiTheme="minorHAnsi" w:cstheme="minorHAnsi"/>
          <w:lang w:val="nl-BE"/>
        </w:rPr>
        <w:t xml:space="preserve">medische </w:t>
      </w:r>
      <w:r w:rsidR="005753FD" w:rsidRPr="003F2C5F">
        <w:rPr>
          <w:rFonts w:asciiTheme="minorHAnsi" w:hAnsiTheme="minorHAnsi" w:cstheme="minorHAnsi"/>
          <w:lang w:val="nl-BE"/>
        </w:rPr>
        <w:t>hulpmiddelen</w:t>
      </w:r>
    </w:p>
    <w:p w14:paraId="55649331" w14:textId="0E7FBBC2" w:rsidR="003E371D" w:rsidRPr="003F2C5F" w:rsidRDefault="005753FD" w:rsidP="003F2C5F">
      <w:pPr>
        <w:pStyle w:val="Lijstalinea"/>
        <w:numPr>
          <w:ilvl w:val="0"/>
          <w:numId w:val="9"/>
        </w:numPr>
        <w:spacing w:line="240" w:lineRule="auto"/>
        <w:rPr>
          <w:rFonts w:asciiTheme="minorHAnsi" w:hAnsiTheme="minorHAnsi" w:cstheme="minorHAnsi"/>
          <w:lang w:val="nl-BE"/>
        </w:rPr>
      </w:pPr>
      <w:r w:rsidRPr="003F2C5F">
        <w:rPr>
          <w:rFonts w:asciiTheme="minorHAnsi" w:hAnsiTheme="minorHAnsi" w:cstheme="minorHAnsi"/>
          <w:lang w:val="nl-BE"/>
        </w:rPr>
        <w:t xml:space="preserve">De persoon die verantwoordelijk is voor de naleving van de </w:t>
      </w:r>
      <w:r w:rsidR="00D959D5" w:rsidRPr="003F2C5F">
        <w:rPr>
          <w:rFonts w:asciiTheme="minorHAnsi" w:hAnsiTheme="minorHAnsi" w:cstheme="minorHAnsi"/>
          <w:lang w:val="nl-BE"/>
        </w:rPr>
        <w:t xml:space="preserve">regelgeving zoals </w:t>
      </w:r>
      <w:r w:rsidR="00D17A25">
        <w:rPr>
          <w:rFonts w:asciiTheme="minorHAnsi" w:hAnsiTheme="minorHAnsi" w:cstheme="minorHAnsi"/>
          <w:lang w:val="nl-BE"/>
        </w:rPr>
        <w:t>bepaald in art.</w:t>
      </w:r>
      <w:r w:rsidRPr="003F2C5F">
        <w:rPr>
          <w:rFonts w:asciiTheme="minorHAnsi" w:hAnsiTheme="minorHAnsi" w:cstheme="minorHAnsi"/>
          <w:lang w:val="nl-BE"/>
        </w:rPr>
        <w:t xml:space="preserve"> 15 </w:t>
      </w:r>
    </w:p>
    <w:p w14:paraId="359232F1" w14:textId="7EF5F756" w:rsidR="002E369C" w:rsidRPr="0062385A" w:rsidRDefault="002E369C" w:rsidP="005753FD">
      <w:pPr>
        <w:pStyle w:val="Lijstalinea"/>
        <w:spacing w:line="240" w:lineRule="auto"/>
        <w:ind w:left="1440"/>
        <w:rPr>
          <w:rFonts w:asciiTheme="minorHAnsi" w:hAnsiTheme="minorHAnsi"/>
          <w:lang w:val="nl-BE"/>
        </w:rPr>
      </w:pPr>
    </w:p>
    <w:p w14:paraId="75A3B60F" w14:textId="2B40F5FC" w:rsidR="005753FD" w:rsidRPr="0062385A" w:rsidRDefault="005753FD" w:rsidP="00160D79">
      <w:pPr>
        <w:spacing w:line="240" w:lineRule="auto"/>
        <w:rPr>
          <w:rFonts w:cs="Arial"/>
          <w:lang w:val="nl-BE"/>
        </w:rPr>
      </w:pPr>
      <w:r w:rsidRPr="0062385A">
        <w:rPr>
          <w:rFonts w:cs="Arial"/>
          <w:lang w:val="nl-BE"/>
        </w:rPr>
        <w:t xml:space="preserve">Een aantal aanpassingen/uitzonderingen </w:t>
      </w:r>
      <w:r w:rsidR="00091C9C">
        <w:rPr>
          <w:rFonts w:cs="Arial"/>
          <w:lang w:val="nl-BE"/>
        </w:rPr>
        <w:t>kunnen</w:t>
      </w:r>
      <w:r w:rsidR="00D959D5">
        <w:rPr>
          <w:rFonts w:cs="Arial"/>
          <w:lang w:val="nl-BE"/>
        </w:rPr>
        <w:t xml:space="preserve"> </w:t>
      </w:r>
      <w:r w:rsidRPr="0062385A">
        <w:rPr>
          <w:rFonts w:cs="Arial"/>
          <w:lang w:val="nl-BE"/>
        </w:rPr>
        <w:t xml:space="preserve">echter noodzakelijk, </w:t>
      </w:r>
      <w:r w:rsidR="00091C9C">
        <w:rPr>
          <w:rFonts w:cs="Arial"/>
          <w:lang w:val="nl-BE"/>
        </w:rPr>
        <w:t>indien</w:t>
      </w:r>
      <w:r w:rsidR="00091C9C" w:rsidRPr="0062385A">
        <w:rPr>
          <w:rFonts w:cs="Arial"/>
          <w:lang w:val="nl-BE"/>
        </w:rPr>
        <w:t xml:space="preserve"> </w:t>
      </w:r>
      <w:proofErr w:type="spellStart"/>
      <w:r w:rsidRPr="0062385A">
        <w:rPr>
          <w:rFonts w:cs="Arial"/>
          <w:lang w:val="nl-BE"/>
        </w:rPr>
        <w:t>Eudamed</w:t>
      </w:r>
      <w:proofErr w:type="spellEnd"/>
      <w:r w:rsidRPr="0062385A">
        <w:rPr>
          <w:rFonts w:cs="Arial"/>
          <w:lang w:val="nl-BE"/>
        </w:rPr>
        <w:t xml:space="preserve"> niet</w:t>
      </w:r>
      <w:r w:rsidR="00551FEF">
        <w:rPr>
          <w:rFonts w:cs="Arial"/>
          <w:lang w:val="nl-BE"/>
        </w:rPr>
        <w:t xml:space="preserve"> </w:t>
      </w:r>
      <w:r w:rsidRPr="0062385A">
        <w:rPr>
          <w:rFonts w:cs="Arial"/>
          <w:lang w:val="nl-BE"/>
        </w:rPr>
        <w:t xml:space="preserve">volledig operationeel zal zijn vóór de toepassingsdatum.  Bijvoorbeeld: </w:t>
      </w:r>
    </w:p>
    <w:p w14:paraId="49010C7E" w14:textId="23F5A70A" w:rsidR="005753FD" w:rsidRPr="0062385A" w:rsidRDefault="00C04CC7" w:rsidP="00160D79">
      <w:pPr>
        <w:pStyle w:val="Lijstalinea"/>
        <w:numPr>
          <w:ilvl w:val="0"/>
          <w:numId w:val="6"/>
        </w:numPr>
        <w:spacing w:line="240" w:lineRule="auto"/>
        <w:rPr>
          <w:rFonts w:asciiTheme="minorHAnsi" w:hAnsiTheme="minorHAnsi" w:cs="Arial"/>
          <w:lang w:val="nl-BE"/>
        </w:rPr>
      </w:pPr>
      <w:r>
        <w:rPr>
          <w:rFonts w:asciiTheme="minorHAnsi" w:hAnsiTheme="minorHAnsi" w:cs="Arial"/>
          <w:lang w:val="nl-BE"/>
        </w:rPr>
        <w:t xml:space="preserve"> Wat betreft </w:t>
      </w:r>
      <w:r w:rsidR="005753FD" w:rsidRPr="006E3E8E">
        <w:rPr>
          <w:rFonts w:asciiTheme="minorHAnsi" w:hAnsiTheme="minorHAnsi" w:cs="Arial"/>
          <w:lang w:val="nl-BE"/>
        </w:rPr>
        <w:t xml:space="preserve">kennisgevingen </w:t>
      </w:r>
      <w:r w:rsidR="00551FEF" w:rsidRPr="006E3E8E">
        <w:rPr>
          <w:rFonts w:asciiTheme="minorHAnsi" w:hAnsiTheme="minorHAnsi" w:cs="Arial"/>
          <w:lang w:val="nl-BE"/>
        </w:rPr>
        <w:t xml:space="preserve">voor het </w:t>
      </w:r>
      <w:r w:rsidR="005753FD" w:rsidRPr="006E3E8E">
        <w:rPr>
          <w:rFonts w:asciiTheme="minorHAnsi" w:hAnsiTheme="minorHAnsi" w:cs="Arial"/>
          <w:lang w:val="nl-BE"/>
        </w:rPr>
        <w:t>in de handel brengen</w:t>
      </w:r>
      <w:r w:rsidR="005753FD" w:rsidRPr="0062385A">
        <w:rPr>
          <w:rFonts w:asciiTheme="minorHAnsi" w:hAnsiTheme="minorHAnsi" w:cs="Arial"/>
          <w:lang w:val="nl-BE"/>
        </w:rPr>
        <w:t xml:space="preserve"> en registratie van</w:t>
      </w:r>
      <w:r w:rsidR="006E3E8E">
        <w:rPr>
          <w:rFonts w:asciiTheme="minorHAnsi" w:hAnsiTheme="minorHAnsi" w:cs="Arial"/>
          <w:lang w:val="nl-BE"/>
        </w:rPr>
        <w:t xml:space="preserve"> de</w:t>
      </w:r>
      <w:r w:rsidR="005753FD" w:rsidRPr="0062385A">
        <w:rPr>
          <w:rFonts w:asciiTheme="minorHAnsi" w:hAnsiTheme="minorHAnsi" w:cs="Arial"/>
          <w:lang w:val="nl-BE"/>
        </w:rPr>
        <w:t xml:space="preserve"> marktdeelnemers</w:t>
      </w:r>
      <w:r w:rsidRPr="00C04CC7">
        <w:rPr>
          <w:rFonts w:asciiTheme="minorHAnsi" w:hAnsiTheme="minorHAnsi" w:cs="Arial"/>
          <w:lang w:val="nl-BE"/>
        </w:rPr>
        <w:t xml:space="preserve"> </w:t>
      </w:r>
      <w:r w:rsidRPr="0062385A">
        <w:rPr>
          <w:rFonts w:asciiTheme="minorHAnsi" w:hAnsiTheme="minorHAnsi" w:cs="Arial"/>
          <w:lang w:val="nl-BE"/>
        </w:rPr>
        <w:t xml:space="preserve">zullen bepaalde verplichtingen van de richtlijnen van toepassing </w:t>
      </w:r>
      <w:r w:rsidRPr="006E3E8E">
        <w:rPr>
          <w:rFonts w:asciiTheme="minorHAnsi" w:hAnsiTheme="minorHAnsi" w:cs="Arial"/>
          <w:lang w:val="nl-BE"/>
        </w:rPr>
        <w:t>blijven</w:t>
      </w:r>
      <w:r w:rsidR="00923121">
        <w:rPr>
          <w:rFonts w:asciiTheme="minorHAnsi" w:hAnsiTheme="minorHAnsi" w:cs="Arial"/>
          <w:lang w:val="nl-BE"/>
        </w:rPr>
        <w:t xml:space="preserve"> zolang deze modules in </w:t>
      </w:r>
      <w:proofErr w:type="spellStart"/>
      <w:r w:rsidR="00923121">
        <w:rPr>
          <w:rFonts w:asciiTheme="minorHAnsi" w:hAnsiTheme="minorHAnsi" w:cs="Arial"/>
          <w:lang w:val="nl-BE"/>
        </w:rPr>
        <w:t>Eudamed</w:t>
      </w:r>
      <w:proofErr w:type="spellEnd"/>
      <w:r w:rsidR="00923121">
        <w:rPr>
          <w:rFonts w:asciiTheme="minorHAnsi" w:hAnsiTheme="minorHAnsi" w:cs="Arial"/>
          <w:lang w:val="nl-BE"/>
        </w:rPr>
        <w:t xml:space="preserve"> niet operationeel zijn</w:t>
      </w:r>
    </w:p>
    <w:p w14:paraId="06EBFB6A" w14:textId="4877478D" w:rsidR="005753FD" w:rsidRDefault="005753FD" w:rsidP="00160D79">
      <w:pPr>
        <w:pStyle w:val="Lijstalinea"/>
        <w:numPr>
          <w:ilvl w:val="0"/>
          <w:numId w:val="6"/>
        </w:numPr>
        <w:spacing w:line="240" w:lineRule="auto"/>
        <w:rPr>
          <w:rFonts w:asciiTheme="minorHAnsi" w:hAnsiTheme="minorHAnsi" w:cs="Arial"/>
          <w:lang w:val="nl-BE"/>
        </w:rPr>
      </w:pPr>
      <w:r w:rsidRPr="0062385A">
        <w:rPr>
          <w:rFonts w:asciiTheme="minorHAnsi" w:hAnsiTheme="minorHAnsi" w:cs="Arial"/>
          <w:lang w:val="nl-BE"/>
        </w:rPr>
        <w:t>De toe</w:t>
      </w:r>
      <w:r w:rsidR="00E22E4C" w:rsidRPr="0062385A">
        <w:rPr>
          <w:rFonts w:asciiTheme="minorHAnsi" w:hAnsiTheme="minorHAnsi" w:cs="Arial"/>
          <w:lang w:val="nl-BE"/>
        </w:rPr>
        <w:t>kenning</w:t>
      </w:r>
      <w:r w:rsidRPr="0062385A">
        <w:rPr>
          <w:rFonts w:asciiTheme="minorHAnsi" w:hAnsiTheme="minorHAnsi" w:cs="Arial"/>
          <w:lang w:val="nl-BE"/>
        </w:rPr>
        <w:t xml:space="preserve"> van een </w:t>
      </w:r>
      <w:r w:rsidR="00E22E4C" w:rsidRPr="0062385A">
        <w:rPr>
          <w:rFonts w:asciiTheme="minorHAnsi" w:hAnsiTheme="minorHAnsi" w:cs="Arial"/>
          <w:lang w:val="nl-BE"/>
        </w:rPr>
        <w:t xml:space="preserve">UDI </w:t>
      </w:r>
      <w:r w:rsidRPr="0062385A">
        <w:rPr>
          <w:rFonts w:asciiTheme="minorHAnsi" w:hAnsiTheme="minorHAnsi" w:cs="Arial"/>
          <w:lang w:val="nl-BE"/>
        </w:rPr>
        <w:t>(</w:t>
      </w:r>
      <w:r w:rsidR="00E22E4C" w:rsidRPr="0062385A">
        <w:rPr>
          <w:rFonts w:asciiTheme="minorHAnsi" w:hAnsiTheme="minorHAnsi" w:cs="Arial"/>
          <w:lang w:val="nl-BE"/>
        </w:rPr>
        <w:t xml:space="preserve">Unique Device </w:t>
      </w:r>
      <w:proofErr w:type="spellStart"/>
      <w:r w:rsidR="00E22E4C" w:rsidRPr="0062385A">
        <w:rPr>
          <w:rFonts w:asciiTheme="minorHAnsi" w:hAnsiTheme="minorHAnsi" w:cs="Arial"/>
          <w:lang w:val="nl-BE"/>
        </w:rPr>
        <w:t>Identification</w:t>
      </w:r>
      <w:proofErr w:type="spellEnd"/>
      <w:r w:rsidR="00E22E4C" w:rsidRPr="0062385A">
        <w:rPr>
          <w:rFonts w:asciiTheme="minorHAnsi" w:hAnsiTheme="minorHAnsi" w:cs="Arial"/>
          <w:lang w:val="nl-BE"/>
        </w:rPr>
        <w:t xml:space="preserve"> system - systeem voor unieke hulpmiddelidentificatie</w:t>
      </w:r>
      <w:r w:rsidRPr="0062385A">
        <w:rPr>
          <w:rFonts w:asciiTheme="minorHAnsi" w:hAnsiTheme="minorHAnsi" w:cs="Arial"/>
          <w:lang w:val="nl-BE"/>
        </w:rPr>
        <w:t xml:space="preserve">) </w:t>
      </w:r>
      <w:r w:rsidR="00E22E4C" w:rsidRPr="0062385A">
        <w:rPr>
          <w:rFonts w:asciiTheme="minorHAnsi" w:hAnsiTheme="minorHAnsi" w:cs="Arial"/>
          <w:lang w:val="nl-BE"/>
        </w:rPr>
        <w:t xml:space="preserve">kan niet </w:t>
      </w:r>
      <w:r w:rsidRPr="0062385A">
        <w:rPr>
          <w:rFonts w:asciiTheme="minorHAnsi" w:hAnsiTheme="minorHAnsi" w:cs="Arial"/>
          <w:lang w:val="nl-BE"/>
        </w:rPr>
        <w:t xml:space="preserve">plaatsvinden </w:t>
      </w:r>
      <w:r w:rsidR="00E22E4C" w:rsidRPr="0062385A">
        <w:rPr>
          <w:rFonts w:asciiTheme="minorHAnsi" w:hAnsiTheme="minorHAnsi" w:cs="Arial"/>
          <w:lang w:val="nl-BE"/>
        </w:rPr>
        <w:t xml:space="preserve">zolang de </w:t>
      </w:r>
      <w:r w:rsidR="004C056A">
        <w:rPr>
          <w:rFonts w:asciiTheme="minorHAnsi" w:hAnsiTheme="minorHAnsi" w:cs="Arial"/>
          <w:lang w:val="nl-BE"/>
        </w:rPr>
        <w:t>toekennende</w:t>
      </w:r>
      <w:r w:rsidR="00E22E4C" w:rsidRPr="0062385A">
        <w:rPr>
          <w:rFonts w:asciiTheme="minorHAnsi" w:hAnsiTheme="minorHAnsi" w:cs="Arial"/>
          <w:lang w:val="nl-BE"/>
        </w:rPr>
        <w:t xml:space="preserve"> entiteiten </w:t>
      </w:r>
      <w:r w:rsidR="00D17A25">
        <w:rPr>
          <w:rFonts w:asciiTheme="minorHAnsi" w:hAnsiTheme="minorHAnsi" w:cs="Arial"/>
          <w:lang w:val="nl-BE"/>
        </w:rPr>
        <w:t>(art.</w:t>
      </w:r>
      <w:r w:rsidRPr="0062385A">
        <w:rPr>
          <w:rFonts w:asciiTheme="minorHAnsi" w:hAnsiTheme="minorHAnsi" w:cs="Arial"/>
          <w:lang w:val="nl-BE"/>
        </w:rPr>
        <w:t xml:space="preserve"> 27 MDR</w:t>
      </w:r>
      <w:r w:rsidR="005F0E3E">
        <w:rPr>
          <w:rFonts w:asciiTheme="minorHAnsi" w:hAnsiTheme="minorHAnsi" w:cs="Arial"/>
          <w:lang w:val="nl-BE"/>
        </w:rPr>
        <w:t>-2017/045</w:t>
      </w:r>
      <w:r w:rsidR="00D17A25">
        <w:rPr>
          <w:rFonts w:asciiTheme="minorHAnsi" w:hAnsiTheme="minorHAnsi" w:cs="Arial"/>
          <w:lang w:val="nl-BE"/>
        </w:rPr>
        <w:t xml:space="preserve"> en art.</w:t>
      </w:r>
      <w:r w:rsidRPr="0062385A">
        <w:rPr>
          <w:rFonts w:asciiTheme="minorHAnsi" w:hAnsiTheme="minorHAnsi" w:cs="Arial"/>
          <w:lang w:val="nl-BE"/>
        </w:rPr>
        <w:t xml:space="preserve"> 24 IVDR</w:t>
      </w:r>
      <w:r w:rsidR="005F0E3E">
        <w:rPr>
          <w:rFonts w:asciiTheme="minorHAnsi" w:hAnsiTheme="minorHAnsi" w:cs="Arial"/>
          <w:lang w:val="nl-BE"/>
        </w:rPr>
        <w:t>-2017/046</w:t>
      </w:r>
      <w:r w:rsidRPr="0062385A">
        <w:rPr>
          <w:rFonts w:asciiTheme="minorHAnsi" w:hAnsiTheme="minorHAnsi" w:cs="Arial"/>
          <w:lang w:val="nl-BE"/>
        </w:rPr>
        <w:t xml:space="preserve">) </w:t>
      </w:r>
      <w:r w:rsidR="00E22E4C" w:rsidRPr="0062385A">
        <w:rPr>
          <w:rFonts w:asciiTheme="minorHAnsi" w:hAnsiTheme="minorHAnsi" w:cs="Arial"/>
          <w:lang w:val="nl-BE"/>
        </w:rPr>
        <w:t xml:space="preserve">niet </w:t>
      </w:r>
      <w:r w:rsidRPr="0062385A">
        <w:rPr>
          <w:rFonts w:asciiTheme="minorHAnsi" w:hAnsiTheme="minorHAnsi" w:cs="Arial"/>
          <w:lang w:val="nl-BE"/>
        </w:rPr>
        <w:t>zijn aangewezen</w:t>
      </w:r>
      <w:r w:rsidR="004C056A">
        <w:rPr>
          <w:rFonts w:asciiTheme="minorHAnsi" w:hAnsiTheme="minorHAnsi" w:cs="Arial"/>
          <w:lang w:val="nl-BE"/>
        </w:rPr>
        <w:t xml:space="preserve">. Een </w:t>
      </w:r>
      <w:r w:rsidR="006E3E8E" w:rsidRPr="0062385A">
        <w:rPr>
          <w:rFonts w:asciiTheme="minorHAnsi" w:hAnsiTheme="minorHAnsi" w:cs="Arial"/>
          <w:lang w:val="nl-BE"/>
        </w:rPr>
        <w:t xml:space="preserve">UDI </w:t>
      </w:r>
      <w:r w:rsidR="00E22E4C" w:rsidRPr="0062385A">
        <w:rPr>
          <w:rFonts w:asciiTheme="minorHAnsi" w:hAnsiTheme="minorHAnsi" w:cs="Arial"/>
          <w:lang w:val="nl-BE"/>
        </w:rPr>
        <w:t xml:space="preserve">kan </w:t>
      </w:r>
      <w:r w:rsidRPr="0062385A">
        <w:rPr>
          <w:rFonts w:asciiTheme="minorHAnsi" w:hAnsiTheme="minorHAnsi" w:cs="Arial"/>
          <w:lang w:val="nl-BE"/>
        </w:rPr>
        <w:t xml:space="preserve">pas worden geregistreerd wanneer de </w:t>
      </w:r>
      <w:r w:rsidR="006E3E8E">
        <w:rPr>
          <w:rFonts w:asciiTheme="minorHAnsi" w:hAnsiTheme="minorHAnsi" w:cs="Arial"/>
          <w:lang w:val="nl-BE"/>
        </w:rPr>
        <w:t>UDI</w:t>
      </w:r>
      <w:r w:rsidRPr="0062385A">
        <w:rPr>
          <w:rFonts w:asciiTheme="minorHAnsi" w:hAnsiTheme="minorHAnsi" w:cs="Arial"/>
          <w:lang w:val="nl-BE"/>
        </w:rPr>
        <w:t xml:space="preserve">-databank beschikbaar is. </w:t>
      </w:r>
      <w:r w:rsidR="004C464A">
        <w:rPr>
          <w:rFonts w:asciiTheme="minorHAnsi" w:hAnsiTheme="minorHAnsi" w:cs="Arial"/>
          <w:lang w:val="nl-BE"/>
        </w:rPr>
        <w:t xml:space="preserve">De vereiste om de UDI-drager op een </w:t>
      </w:r>
      <w:r w:rsidR="00DA0A2C">
        <w:rPr>
          <w:rFonts w:asciiTheme="minorHAnsi" w:hAnsiTheme="minorHAnsi" w:cs="Arial"/>
          <w:lang w:val="nl-BE"/>
        </w:rPr>
        <w:t xml:space="preserve">medisch </w:t>
      </w:r>
      <w:r w:rsidR="004C464A">
        <w:rPr>
          <w:rFonts w:asciiTheme="minorHAnsi" w:hAnsiTheme="minorHAnsi" w:cs="Arial"/>
          <w:lang w:val="nl-BE"/>
        </w:rPr>
        <w:t>hulpmiddel te plaatsen zal stapsgewijs geïntroduceerd worden na de toepassingsdatum</w:t>
      </w:r>
      <w:r w:rsidR="00923121">
        <w:rPr>
          <w:rFonts w:asciiTheme="minorHAnsi" w:hAnsiTheme="minorHAnsi" w:cs="Arial"/>
          <w:lang w:val="nl-BE"/>
        </w:rPr>
        <w:t>, de UDI moet echter al eerder toegekend worden</w:t>
      </w:r>
    </w:p>
    <w:p w14:paraId="7E441A39" w14:textId="6640D5F8" w:rsidR="00491E75" w:rsidRDefault="0005349C" w:rsidP="00160D79">
      <w:pPr>
        <w:pStyle w:val="Lijstalinea"/>
        <w:numPr>
          <w:ilvl w:val="0"/>
          <w:numId w:val="6"/>
        </w:numPr>
        <w:spacing w:line="240" w:lineRule="auto"/>
        <w:rPr>
          <w:rFonts w:asciiTheme="minorHAnsi" w:hAnsiTheme="minorHAnsi" w:cs="Arial"/>
          <w:lang w:val="nl-BE"/>
        </w:rPr>
      </w:pPr>
      <w:r>
        <w:rPr>
          <w:rFonts w:asciiTheme="minorHAnsi" w:hAnsiTheme="minorHAnsi" w:cs="Arial"/>
          <w:lang w:val="nl-BE"/>
        </w:rPr>
        <w:t xml:space="preserve">Fabrikanten </w:t>
      </w:r>
      <w:r w:rsidR="00540C7C">
        <w:rPr>
          <w:rFonts w:asciiTheme="minorHAnsi" w:hAnsiTheme="minorHAnsi" w:cs="Arial"/>
          <w:lang w:val="nl-BE"/>
        </w:rPr>
        <w:t>dienen reeds te beschikken over een</w:t>
      </w:r>
      <w:r>
        <w:rPr>
          <w:rFonts w:asciiTheme="minorHAnsi" w:hAnsiTheme="minorHAnsi" w:cs="Arial"/>
          <w:lang w:val="nl-BE"/>
        </w:rPr>
        <w:t xml:space="preserve"> persoon die verantwoordelijk is voor de naleving van de regelgeving</w:t>
      </w:r>
      <w:r w:rsidR="00D17A25">
        <w:rPr>
          <w:rFonts w:asciiTheme="minorHAnsi" w:hAnsiTheme="minorHAnsi" w:cs="Arial"/>
          <w:lang w:val="nl-BE"/>
        </w:rPr>
        <w:t xml:space="preserve"> zoals voorzien in art.</w:t>
      </w:r>
      <w:r w:rsidR="00540C7C">
        <w:rPr>
          <w:rFonts w:asciiTheme="minorHAnsi" w:hAnsiTheme="minorHAnsi" w:cs="Arial"/>
          <w:lang w:val="nl-BE"/>
        </w:rPr>
        <w:t xml:space="preserve"> 15 MDR</w:t>
      </w:r>
      <w:r w:rsidR="005F0E3E">
        <w:rPr>
          <w:rFonts w:asciiTheme="minorHAnsi" w:hAnsiTheme="minorHAnsi" w:cs="Arial"/>
          <w:lang w:val="nl-BE"/>
        </w:rPr>
        <w:t xml:space="preserve">-2017/045 en </w:t>
      </w:r>
      <w:r w:rsidR="00540C7C">
        <w:rPr>
          <w:rFonts w:asciiTheme="minorHAnsi" w:hAnsiTheme="minorHAnsi" w:cs="Arial"/>
          <w:lang w:val="nl-BE"/>
        </w:rPr>
        <w:t>IVDR</w:t>
      </w:r>
      <w:r w:rsidR="005F0E3E">
        <w:rPr>
          <w:rFonts w:asciiTheme="minorHAnsi" w:hAnsiTheme="minorHAnsi" w:cs="Arial"/>
          <w:lang w:val="nl-BE"/>
        </w:rPr>
        <w:t>-2017/046</w:t>
      </w:r>
      <w:r w:rsidR="00540C7C">
        <w:rPr>
          <w:rFonts w:asciiTheme="minorHAnsi" w:hAnsiTheme="minorHAnsi" w:cs="Arial"/>
          <w:lang w:val="nl-BE"/>
        </w:rPr>
        <w:t xml:space="preserve">, ook indien deze nog niet geregistreerd zou kunnen worden in </w:t>
      </w:r>
      <w:proofErr w:type="spellStart"/>
      <w:r w:rsidR="00540C7C">
        <w:rPr>
          <w:rFonts w:asciiTheme="minorHAnsi" w:hAnsiTheme="minorHAnsi" w:cs="Arial"/>
          <w:lang w:val="nl-BE"/>
        </w:rPr>
        <w:t>Eudamed</w:t>
      </w:r>
      <w:proofErr w:type="spellEnd"/>
      <w:r w:rsidR="00540C7C">
        <w:rPr>
          <w:rFonts w:asciiTheme="minorHAnsi" w:hAnsiTheme="minorHAnsi" w:cs="Arial"/>
          <w:lang w:val="nl-BE"/>
        </w:rPr>
        <w:t>.</w:t>
      </w:r>
    </w:p>
    <w:p w14:paraId="44C7091C" w14:textId="7AD06CAA" w:rsidR="00923121" w:rsidRDefault="004C056A" w:rsidP="00160D79">
      <w:pPr>
        <w:pStyle w:val="Lijstalinea"/>
        <w:numPr>
          <w:ilvl w:val="0"/>
          <w:numId w:val="6"/>
        </w:numPr>
        <w:spacing w:line="240" w:lineRule="auto"/>
        <w:rPr>
          <w:rFonts w:asciiTheme="minorHAnsi" w:hAnsiTheme="minorHAnsi" w:cs="Arial"/>
          <w:lang w:val="nl-BE"/>
        </w:rPr>
      </w:pPr>
      <w:r>
        <w:rPr>
          <w:rFonts w:asciiTheme="minorHAnsi" w:hAnsiTheme="minorHAnsi" w:cs="Arial"/>
          <w:lang w:val="nl-BE"/>
        </w:rPr>
        <w:t xml:space="preserve">Een implantatenkaart </w:t>
      </w:r>
      <w:r w:rsidR="00D17A25">
        <w:rPr>
          <w:rFonts w:asciiTheme="minorHAnsi" w:hAnsiTheme="minorHAnsi" w:cs="Arial"/>
          <w:lang w:val="nl-BE"/>
        </w:rPr>
        <w:t>en de informatie volgens art.</w:t>
      </w:r>
      <w:r>
        <w:rPr>
          <w:rFonts w:asciiTheme="minorHAnsi" w:hAnsiTheme="minorHAnsi" w:cs="Arial"/>
          <w:lang w:val="nl-BE"/>
        </w:rPr>
        <w:t xml:space="preserve"> 18 MDR</w:t>
      </w:r>
      <w:r w:rsidR="005F0E3E">
        <w:rPr>
          <w:rFonts w:asciiTheme="minorHAnsi" w:hAnsiTheme="minorHAnsi" w:cs="Arial"/>
          <w:lang w:val="nl-BE"/>
        </w:rPr>
        <w:t>-2017/045</w:t>
      </w:r>
      <w:r>
        <w:rPr>
          <w:rFonts w:asciiTheme="minorHAnsi" w:hAnsiTheme="minorHAnsi" w:cs="Arial"/>
          <w:lang w:val="nl-BE"/>
        </w:rPr>
        <w:t xml:space="preserve"> moeten ter beschikking gesteld worden, maar zonder de inhoud gerelateerd aan de UDI. </w:t>
      </w:r>
    </w:p>
    <w:p w14:paraId="20F54BAD" w14:textId="22B558CE" w:rsidR="00540C7C" w:rsidRPr="00923121" w:rsidRDefault="00540C7C" w:rsidP="007E2421">
      <w:pPr>
        <w:spacing w:line="240" w:lineRule="auto"/>
        <w:rPr>
          <w:rFonts w:cs="Arial"/>
          <w:lang w:val="nl-BE"/>
        </w:rPr>
      </w:pPr>
    </w:p>
    <w:p w14:paraId="3AF8D772" w14:textId="5836F452" w:rsidR="00FE50D2" w:rsidRPr="0062385A" w:rsidRDefault="000A50FE" w:rsidP="000A50FE">
      <w:pPr>
        <w:rPr>
          <w:b/>
          <w:lang w:val="nl-BE"/>
        </w:rPr>
      </w:pPr>
      <w:r w:rsidRPr="0062385A">
        <w:rPr>
          <w:b/>
          <w:lang w:val="nl-BE"/>
        </w:rPr>
        <w:t xml:space="preserve">Wat is de concrete procedure in België om een </w:t>
      </w:r>
      <w:r w:rsidR="007E2421">
        <w:rPr>
          <w:b/>
          <w:lang w:val="nl-BE"/>
        </w:rPr>
        <w:t xml:space="preserve">medische </w:t>
      </w:r>
      <w:r w:rsidR="00191B87">
        <w:rPr>
          <w:b/>
          <w:lang w:val="nl-BE"/>
        </w:rPr>
        <w:t>hulpmiddel</w:t>
      </w:r>
      <w:r w:rsidR="00191B87" w:rsidRPr="0062385A">
        <w:rPr>
          <w:b/>
          <w:lang w:val="nl-BE"/>
        </w:rPr>
        <w:t xml:space="preserve"> </w:t>
      </w:r>
      <w:r w:rsidRPr="0062385A">
        <w:rPr>
          <w:b/>
          <w:lang w:val="nl-BE"/>
        </w:rPr>
        <w:t>in de handel te brengen vóór de toepassingsdatum van de v</w:t>
      </w:r>
      <w:r w:rsidR="0084583F">
        <w:rPr>
          <w:b/>
          <w:lang w:val="nl-BE"/>
        </w:rPr>
        <w:t>e</w:t>
      </w:r>
      <w:r w:rsidR="0037141E">
        <w:rPr>
          <w:b/>
          <w:lang w:val="nl-BE"/>
        </w:rPr>
        <w:t>r</w:t>
      </w:r>
      <w:r w:rsidRPr="0062385A">
        <w:rPr>
          <w:b/>
          <w:lang w:val="nl-BE"/>
        </w:rPr>
        <w:t>ordeningen</w:t>
      </w:r>
      <w:r w:rsidR="007F2D35" w:rsidRPr="0062385A">
        <w:rPr>
          <w:b/>
          <w:lang w:val="nl-BE"/>
        </w:rPr>
        <w:t xml:space="preserve">?  </w:t>
      </w:r>
    </w:p>
    <w:p w14:paraId="6D2D9860" w14:textId="6D02ED92" w:rsidR="000A50FE" w:rsidRPr="0062385A" w:rsidRDefault="000A50FE" w:rsidP="000A50FE">
      <w:pPr>
        <w:rPr>
          <w:lang w:val="nl-BE"/>
        </w:rPr>
      </w:pPr>
      <w:r w:rsidRPr="0062385A">
        <w:rPr>
          <w:lang w:val="nl-BE"/>
        </w:rPr>
        <w:t>De omzetting van de richtlijnen (MDD</w:t>
      </w:r>
      <w:r w:rsidR="009F70F9">
        <w:rPr>
          <w:lang w:val="nl-BE"/>
        </w:rPr>
        <w:t xml:space="preserve"> </w:t>
      </w:r>
      <w:r w:rsidRPr="0062385A">
        <w:rPr>
          <w:lang w:val="nl-BE"/>
        </w:rPr>
        <w:t xml:space="preserve">93/42 - IVDD 98/78) </w:t>
      </w:r>
      <w:r w:rsidR="006F2995">
        <w:rPr>
          <w:lang w:val="nl-BE"/>
        </w:rPr>
        <w:t xml:space="preserve">in Belgisch recht (KB van 18 maart 1999 en KB van 14 november </w:t>
      </w:r>
      <w:r w:rsidRPr="0062385A">
        <w:rPr>
          <w:lang w:val="nl-BE"/>
        </w:rPr>
        <w:t xml:space="preserve">2001) bepaalt dat fabrikanten van </w:t>
      </w:r>
      <w:r w:rsidR="00191B87">
        <w:rPr>
          <w:lang w:val="nl-BE"/>
        </w:rPr>
        <w:t xml:space="preserve">bepaalde </w:t>
      </w:r>
      <w:r w:rsidRPr="0062385A">
        <w:rPr>
          <w:lang w:val="nl-BE"/>
        </w:rPr>
        <w:t xml:space="preserve">medische hulpmiddelen </w:t>
      </w:r>
      <w:r w:rsidR="00191B87">
        <w:rPr>
          <w:lang w:val="nl-BE"/>
        </w:rPr>
        <w:t>(</w:t>
      </w:r>
      <w:r w:rsidRPr="0062385A">
        <w:rPr>
          <w:lang w:val="nl-BE"/>
        </w:rPr>
        <w:t xml:space="preserve">klasse I, hulpmiddelen naar maat </w:t>
      </w:r>
      <w:r w:rsidR="00191B87">
        <w:rPr>
          <w:lang w:val="nl-BE"/>
        </w:rPr>
        <w:t>en</w:t>
      </w:r>
      <w:r w:rsidR="00191B87" w:rsidRPr="0062385A">
        <w:rPr>
          <w:lang w:val="nl-BE"/>
        </w:rPr>
        <w:t xml:space="preserve"> </w:t>
      </w:r>
      <w:r w:rsidRPr="0062385A">
        <w:rPr>
          <w:lang w:val="nl-BE"/>
        </w:rPr>
        <w:t>sterilisatoren van medische hulpmiddelen</w:t>
      </w:r>
      <w:r w:rsidR="00A215F0">
        <w:rPr>
          <w:lang w:val="nl-BE"/>
        </w:rPr>
        <w:t xml:space="preserve"> die deze onder hun eigen naam op de markt brengen</w:t>
      </w:r>
      <w:r w:rsidR="00191B87">
        <w:rPr>
          <w:lang w:val="nl-BE"/>
        </w:rPr>
        <w:t>)</w:t>
      </w:r>
      <w:r w:rsidR="00A65105">
        <w:rPr>
          <w:lang w:val="nl-BE"/>
        </w:rPr>
        <w:t xml:space="preserve"> </w:t>
      </w:r>
      <w:r w:rsidRPr="0062385A">
        <w:rPr>
          <w:lang w:val="nl-BE"/>
        </w:rPr>
        <w:t xml:space="preserve">uiterlijk op de dag van het in de handel brengen </w:t>
      </w:r>
      <w:r w:rsidRPr="006E3E8E">
        <w:rPr>
          <w:lang w:val="nl-BE"/>
        </w:rPr>
        <w:t>daarvan</w:t>
      </w:r>
      <w:r w:rsidR="00A65105">
        <w:rPr>
          <w:lang w:val="nl-BE"/>
        </w:rPr>
        <w:t>,</w:t>
      </w:r>
      <w:r w:rsidRPr="006E3E8E">
        <w:rPr>
          <w:lang w:val="nl-BE"/>
        </w:rPr>
        <w:t xml:space="preserve"> </w:t>
      </w:r>
      <w:r w:rsidR="00876187" w:rsidRPr="006E3E8E">
        <w:rPr>
          <w:lang w:val="nl-BE"/>
        </w:rPr>
        <w:t xml:space="preserve">een kennisgeving moeten </w:t>
      </w:r>
      <w:r w:rsidR="006E3E8E">
        <w:rPr>
          <w:lang w:val="nl-BE"/>
        </w:rPr>
        <w:t>indienen</w:t>
      </w:r>
      <w:r w:rsidR="00A65105">
        <w:rPr>
          <w:lang w:val="nl-BE"/>
        </w:rPr>
        <w:t>. Dit kan gedaan worden</w:t>
      </w:r>
      <w:r w:rsidR="00876187" w:rsidRPr="006E3E8E">
        <w:rPr>
          <w:lang w:val="nl-BE"/>
        </w:rPr>
        <w:t xml:space="preserve"> </w:t>
      </w:r>
      <w:r w:rsidRPr="006E3E8E">
        <w:rPr>
          <w:lang w:val="nl-BE"/>
        </w:rPr>
        <w:t>door</w:t>
      </w:r>
      <w:r w:rsidR="00A65105">
        <w:rPr>
          <w:lang w:val="nl-BE"/>
        </w:rPr>
        <w:t xml:space="preserve"> het indienen van </w:t>
      </w:r>
      <w:r w:rsidRPr="006E3E8E">
        <w:rPr>
          <w:lang w:val="nl-BE"/>
        </w:rPr>
        <w:t xml:space="preserve">een </w:t>
      </w:r>
      <w:r w:rsidR="00876187" w:rsidRPr="006E3E8E">
        <w:rPr>
          <w:lang w:val="nl-BE"/>
        </w:rPr>
        <w:t>kennisgeving</w:t>
      </w:r>
      <w:r w:rsidRPr="006E3E8E">
        <w:rPr>
          <w:lang w:val="nl-BE"/>
        </w:rPr>
        <w:t>sformulier</w:t>
      </w:r>
      <w:r w:rsidR="00A65105">
        <w:rPr>
          <w:lang w:val="nl-BE"/>
        </w:rPr>
        <w:t xml:space="preserve"> bij de bevoegde autoriteiten. E</w:t>
      </w:r>
      <w:r w:rsidR="00876187" w:rsidRPr="006E3E8E">
        <w:rPr>
          <w:lang w:val="nl-BE"/>
        </w:rPr>
        <w:t>en volled</w:t>
      </w:r>
      <w:r w:rsidR="00876187" w:rsidRPr="0062385A">
        <w:rPr>
          <w:lang w:val="nl-BE"/>
        </w:rPr>
        <w:t>ige technische documentatie</w:t>
      </w:r>
      <w:r w:rsidRPr="0062385A">
        <w:rPr>
          <w:lang w:val="nl-BE"/>
        </w:rPr>
        <w:t xml:space="preserve"> </w:t>
      </w:r>
      <w:r w:rsidR="00876187" w:rsidRPr="0062385A">
        <w:rPr>
          <w:lang w:val="nl-BE"/>
        </w:rPr>
        <w:t>die de conformiteit met de essentiële eisen aantoont</w:t>
      </w:r>
      <w:r w:rsidR="00A65105">
        <w:rPr>
          <w:lang w:val="nl-BE"/>
        </w:rPr>
        <w:t xml:space="preserve"> dient eveneens </w:t>
      </w:r>
      <w:r w:rsidR="00876187" w:rsidRPr="0062385A">
        <w:rPr>
          <w:lang w:val="nl-BE"/>
        </w:rPr>
        <w:t xml:space="preserve">ter beschikking </w:t>
      </w:r>
      <w:r w:rsidR="00A65105">
        <w:rPr>
          <w:lang w:val="nl-BE"/>
        </w:rPr>
        <w:t>te worden</w:t>
      </w:r>
      <w:r w:rsidR="00876187" w:rsidRPr="0062385A">
        <w:rPr>
          <w:lang w:val="nl-BE"/>
        </w:rPr>
        <w:t xml:space="preserve"> gehouden </w:t>
      </w:r>
      <w:r w:rsidR="00876187" w:rsidRPr="0062385A">
        <w:rPr>
          <w:lang w:val="nl-BE"/>
        </w:rPr>
        <w:lastRenderedPageBreak/>
        <w:t>van de bevoegde autoriteiten</w:t>
      </w:r>
      <w:r w:rsidR="00397AB4">
        <w:rPr>
          <w:lang w:val="nl-BE"/>
        </w:rPr>
        <w:t>.</w:t>
      </w:r>
      <w:r w:rsidR="00A65105">
        <w:rPr>
          <w:lang w:val="nl-BE"/>
        </w:rPr>
        <w:t xml:space="preserve"> Deze procedure is ook van toepassing voor </w:t>
      </w:r>
      <w:r w:rsidR="00A65105" w:rsidRPr="0062385A">
        <w:rPr>
          <w:lang w:val="nl-BE"/>
        </w:rPr>
        <w:t xml:space="preserve">personen die systemen en behandelingspakketten </w:t>
      </w:r>
      <w:r w:rsidR="00A65105">
        <w:rPr>
          <w:lang w:val="nl-BE"/>
        </w:rPr>
        <w:t>samenstellen</w:t>
      </w:r>
      <w:r w:rsidR="00A65105" w:rsidRPr="0062385A">
        <w:rPr>
          <w:lang w:val="nl-BE"/>
        </w:rPr>
        <w:t>, evenals fabrikanten van medische hulpmiddelen voor in-vitrodiagnostiek</w:t>
      </w:r>
      <w:r w:rsidR="00A65105">
        <w:rPr>
          <w:lang w:val="nl-BE"/>
        </w:rPr>
        <w:t>.</w:t>
      </w:r>
    </w:p>
    <w:p w14:paraId="52D4C430" w14:textId="3660EF8B" w:rsidR="00397AB4" w:rsidRDefault="009D1E9F" w:rsidP="000A50FE">
      <w:pPr>
        <w:rPr>
          <w:lang w:val="nl-BE"/>
        </w:rPr>
      </w:pPr>
      <w:r>
        <w:rPr>
          <w:lang w:val="nl-BE"/>
        </w:rPr>
        <w:t>De</w:t>
      </w:r>
      <w:r w:rsidR="000A50FE" w:rsidRPr="0062385A">
        <w:rPr>
          <w:lang w:val="nl-BE"/>
        </w:rPr>
        <w:t xml:space="preserve"> procedure </w:t>
      </w:r>
      <w:r w:rsidR="00876187" w:rsidRPr="0062385A">
        <w:rPr>
          <w:lang w:val="nl-BE"/>
        </w:rPr>
        <w:t>werd</w:t>
      </w:r>
      <w:r w:rsidR="000A50FE" w:rsidRPr="0062385A">
        <w:rPr>
          <w:lang w:val="nl-BE"/>
        </w:rPr>
        <w:t xml:space="preserve"> aangepast om </w:t>
      </w:r>
      <w:r w:rsidR="007F453E">
        <w:rPr>
          <w:lang w:val="nl-BE"/>
        </w:rPr>
        <w:t xml:space="preserve">ook </w:t>
      </w:r>
      <w:r w:rsidR="000A50FE" w:rsidRPr="0062385A">
        <w:rPr>
          <w:lang w:val="nl-BE"/>
        </w:rPr>
        <w:t xml:space="preserve">de </w:t>
      </w:r>
      <w:r w:rsidR="00876187" w:rsidRPr="0062385A">
        <w:rPr>
          <w:lang w:val="nl-BE"/>
        </w:rPr>
        <w:t>kennisgeving</w:t>
      </w:r>
      <w:r w:rsidR="000A50FE" w:rsidRPr="0062385A">
        <w:rPr>
          <w:lang w:val="nl-BE"/>
        </w:rPr>
        <w:t xml:space="preserve"> van </w:t>
      </w:r>
      <w:r w:rsidR="00A65105">
        <w:rPr>
          <w:lang w:val="nl-BE"/>
        </w:rPr>
        <w:t xml:space="preserve">medische </w:t>
      </w:r>
      <w:r w:rsidR="000A50FE" w:rsidRPr="0062385A">
        <w:rPr>
          <w:lang w:val="nl-BE"/>
        </w:rPr>
        <w:t xml:space="preserve">hulpmiddelen overeenkomstig </w:t>
      </w:r>
      <w:r w:rsidR="00876187" w:rsidRPr="0062385A">
        <w:rPr>
          <w:lang w:val="nl-BE"/>
        </w:rPr>
        <w:t xml:space="preserve">de </w:t>
      </w:r>
      <w:r w:rsidR="0084583F">
        <w:rPr>
          <w:lang w:val="nl-BE"/>
        </w:rPr>
        <w:t>MDR</w:t>
      </w:r>
      <w:r w:rsidR="005F0E3E">
        <w:rPr>
          <w:lang w:val="nl-BE"/>
        </w:rPr>
        <w:t xml:space="preserve">-2017/045 en </w:t>
      </w:r>
      <w:r w:rsidR="0084583F">
        <w:rPr>
          <w:lang w:val="nl-BE"/>
        </w:rPr>
        <w:t>IVDR</w:t>
      </w:r>
      <w:r w:rsidR="005F0E3E">
        <w:rPr>
          <w:lang w:val="nl-BE"/>
        </w:rPr>
        <w:t>-2017/046</w:t>
      </w:r>
      <w:r w:rsidR="0084583F">
        <w:rPr>
          <w:lang w:val="nl-BE"/>
        </w:rPr>
        <w:t xml:space="preserve"> mogelijk te maken.</w:t>
      </w:r>
      <w:r w:rsidR="00397AB4">
        <w:rPr>
          <w:lang w:val="nl-BE"/>
        </w:rPr>
        <w:t xml:space="preserve"> De vereiste kennisgevingsformulieren kan u </w:t>
      </w:r>
      <w:r w:rsidR="00A65105">
        <w:rPr>
          <w:lang w:val="nl-BE"/>
        </w:rPr>
        <w:t xml:space="preserve">vinden op </w:t>
      </w:r>
      <w:hyperlink r:id="rId11" w:history="1">
        <w:r w:rsidR="00A65105">
          <w:rPr>
            <w:rStyle w:val="Hyperlink"/>
            <w:lang w:val="nl-BE"/>
          </w:rPr>
          <w:t>Kennisgevingsformulier voor het in handel brengen MD klasse I, naar maat, systemen en behandelingspakketten en sterilisatoren</w:t>
        </w:r>
      </w:hyperlink>
      <w:r w:rsidR="00A65105">
        <w:rPr>
          <w:lang w:val="nl-BE"/>
        </w:rPr>
        <w:t>.</w:t>
      </w:r>
    </w:p>
    <w:p w14:paraId="49A37BCA" w14:textId="1FD0CC20" w:rsidR="00C65D30" w:rsidRPr="00F442AC" w:rsidRDefault="00C65D30" w:rsidP="000A50FE">
      <w:pPr>
        <w:rPr>
          <w:b/>
          <w:lang w:val="nl-BE"/>
        </w:rPr>
      </w:pPr>
      <w:r w:rsidRPr="00F442AC">
        <w:rPr>
          <w:b/>
          <w:lang w:val="nl-BE"/>
        </w:rPr>
        <w:t>CAMD Implementatie werkgroep</w:t>
      </w:r>
    </w:p>
    <w:p w14:paraId="30F3EBD8" w14:textId="095D78DC" w:rsidR="00547CAB" w:rsidRDefault="00834D2B" w:rsidP="000A50FE">
      <w:pPr>
        <w:rPr>
          <w:lang w:val="nl-BE"/>
        </w:rPr>
      </w:pPr>
      <w:r w:rsidRPr="00834D2B">
        <w:rPr>
          <w:lang w:val="nl-BE"/>
        </w:rPr>
        <w:t xml:space="preserve">De </w:t>
      </w:r>
      <w:r w:rsidR="00191B87">
        <w:rPr>
          <w:lang w:val="nl-BE"/>
        </w:rPr>
        <w:t>bevoegde overheden</w:t>
      </w:r>
      <w:r w:rsidR="00132908">
        <w:rPr>
          <w:lang w:val="nl-BE"/>
        </w:rPr>
        <w:t xml:space="preserve"> voor medische hulpmiddelen in de Europese Unie</w:t>
      </w:r>
      <w:r>
        <w:rPr>
          <w:lang w:val="nl-BE"/>
        </w:rPr>
        <w:t xml:space="preserve"> </w:t>
      </w:r>
      <w:r w:rsidRPr="00834D2B">
        <w:rPr>
          <w:lang w:val="nl-BE"/>
        </w:rPr>
        <w:t>(</w:t>
      </w:r>
      <w:r>
        <w:rPr>
          <w:lang w:val="nl-BE"/>
        </w:rPr>
        <w:t xml:space="preserve">CAMD - </w:t>
      </w:r>
      <w:r w:rsidRPr="00834D2B">
        <w:rPr>
          <w:lang w:val="nl-BE"/>
        </w:rPr>
        <w:t xml:space="preserve">Competent </w:t>
      </w:r>
      <w:proofErr w:type="spellStart"/>
      <w:r w:rsidRPr="00834D2B">
        <w:rPr>
          <w:lang w:val="nl-BE"/>
        </w:rPr>
        <w:t>Authorities</w:t>
      </w:r>
      <w:proofErr w:type="spellEnd"/>
      <w:r w:rsidRPr="00834D2B">
        <w:rPr>
          <w:lang w:val="nl-BE"/>
        </w:rPr>
        <w:t xml:space="preserve"> </w:t>
      </w:r>
      <w:proofErr w:type="spellStart"/>
      <w:r w:rsidRPr="00834D2B">
        <w:rPr>
          <w:lang w:val="nl-BE"/>
        </w:rPr>
        <w:t>for</w:t>
      </w:r>
      <w:proofErr w:type="spellEnd"/>
      <w:r w:rsidRPr="00834D2B">
        <w:rPr>
          <w:lang w:val="nl-BE"/>
        </w:rPr>
        <w:t xml:space="preserve"> </w:t>
      </w:r>
      <w:proofErr w:type="spellStart"/>
      <w:r w:rsidRPr="00834D2B">
        <w:rPr>
          <w:lang w:val="nl-BE"/>
        </w:rPr>
        <w:t>Medical</w:t>
      </w:r>
      <w:proofErr w:type="spellEnd"/>
      <w:r w:rsidRPr="00834D2B">
        <w:rPr>
          <w:lang w:val="nl-BE"/>
        </w:rPr>
        <w:t xml:space="preserve"> </w:t>
      </w:r>
      <w:proofErr w:type="spellStart"/>
      <w:r w:rsidRPr="00834D2B">
        <w:rPr>
          <w:lang w:val="nl-BE"/>
        </w:rPr>
        <w:t>Devices</w:t>
      </w:r>
      <w:proofErr w:type="spellEnd"/>
      <w:r w:rsidRPr="00834D2B">
        <w:rPr>
          <w:lang w:val="nl-BE"/>
        </w:rPr>
        <w:t xml:space="preserve">) hebben een werkgroep </w:t>
      </w:r>
      <w:r>
        <w:rPr>
          <w:lang w:val="nl-BE"/>
        </w:rPr>
        <w:t>opgericht die de samenwerking tijdens de implementatiefase van de nieuwe verordening</w:t>
      </w:r>
      <w:r w:rsidR="00132908">
        <w:rPr>
          <w:lang w:val="nl-BE"/>
        </w:rPr>
        <w:t>en</w:t>
      </w:r>
      <w:r>
        <w:rPr>
          <w:lang w:val="nl-BE"/>
        </w:rPr>
        <w:t xml:space="preserve"> moet faciliteren.</w:t>
      </w:r>
    </w:p>
    <w:p w14:paraId="61A95512" w14:textId="18AB82A1" w:rsidR="00885602" w:rsidRDefault="00885602" w:rsidP="000A50FE">
      <w:pPr>
        <w:rPr>
          <w:lang w:val="nl-BE"/>
        </w:rPr>
      </w:pPr>
      <w:r>
        <w:rPr>
          <w:lang w:val="nl-BE"/>
        </w:rPr>
        <w:t>Deze werkgroep heeft als doel</w:t>
      </w:r>
      <w:r w:rsidR="00547CAB">
        <w:rPr>
          <w:lang w:val="nl-BE"/>
        </w:rPr>
        <w:t>:</w:t>
      </w:r>
    </w:p>
    <w:p w14:paraId="383187FA" w14:textId="3A8DB5AE" w:rsidR="00885602" w:rsidRPr="00160D79" w:rsidRDefault="00885602" w:rsidP="00885602">
      <w:pPr>
        <w:pStyle w:val="Lijstalinea"/>
        <w:numPr>
          <w:ilvl w:val="0"/>
          <w:numId w:val="6"/>
        </w:numPr>
        <w:rPr>
          <w:rFonts w:ascii="Calibri" w:hAnsi="Calibri" w:cs="Calibri"/>
          <w:lang w:val="nl-BE"/>
        </w:rPr>
      </w:pPr>
      <w:r w:rsidRPr="00160D79">
        <w:rPr>
          <w:rFonts w:ascii="Calibri" w:hAnsi="Calibri" w:cs="Calibri"/>
          <w:lang w:val="nl-BE"/>
        </w:rPr>
        <w:t xml:space="preserve">Het nastreven van een uniforme interpretatie van de </w:t>
      </w:r>
      <w:r w:rsidR="00132908" w:rsidRPr="00160D79">
        <w:rPr>
          <w:rFonts w:ascii="Calibri" w:hAnsi="Calibri" w:cs="Calibri"/>
          <w:lang w:val="nl-BE"/>
        </w:rPr>
        <w:t>ver</w:t>
      </w:r>
      <w:r w:rsidR="00132908">
        <w:rPr>
          <w:rFonts w:ascii="Calibri" w:hAnsi="Calibri" w:cs="Calibri"/>
          <w:lang w:val="nl-BE"/>
        </w:rPr>
        <w:t>ordeningen in alle</w:t>
      </w:r>
      <w:r w:rsidRPr="00160D79">
        <w:rPr>
          <w:rFonts w:ascii="Calibri" w:hAnsi="Calibri" w:cs="Calibri"/>
          <w:lang w:val="nl-BE"/>
        </w:rPr>
        <w:t xml:space="preserve"> lidstaten </w:t>
      </w:r>
      <w:r w:rsidR="00160D79">
        <w:rPr>
          <w:rFonts w:ascii="Calibri" w:hAnsi="Calibri" w:cs="Calibri"/>
          <w:lang w:val="nl-BE"/>
        </w:rPr>
        <w:t>;</w:t>
      </w:r>
    </w:p>
    <w:p w14:paraId="3F14E8A8" w14:textId="322AB052" w:rsidR="00885602" w:rsidRPr="00160D79" w:rsidRDefault="00885602" w:rsidP="00885602">
      <w:pPr>
        <w:pStyle w:val="Lijstalinea"/>
        <w:numPr>
          <w:ilvl w:val="0"/>
          <w:numId w:val="6"/>
        </w:numPr>
        <w:rPr>
          <w:rFonts w:ascii="Calibri" w:hAnsi="Calibri" w:cs="Calibri"/>
          <w:lang w:val="nl-BE"/>
        </w:rPr>
      </w:pPr>
      <w:r w:rsidRPr="00160D79">
        <w:rPr>
          <w:rFonts w:ascii="Calibri" w:hAnsi="Calibri" w:cs="Calibri"/>
          <w:lang w:val="nl-BE"/>
        </w:rPr>
        <w:t>Het verzekeren van een consistente toepassing van de regelgeving</w:t>
      </w:r>
      <w:r w:rsidR="00F412CC">
        <w:rPr>
          <w:rFonts w:ascii="Calibri" w:hAnsi="Calibri" w:cs="Calibri"/>
          <w:lang w:val="nl-BE"/>
        </w:rPr>
        <w:t xml:space="preserve"> door de verschillende actoren</w:t>
      </w:r>
      <w:r w:rsidR="00160D79">
        <w:rPr>
          <w:rFonts w:ascii="Calibri" w:hAnsi="Calibri" w:cs="Calibri"/>
          <w:lang w:val="nl-BE"/>
        </w:rPr>
        <w:t>;</w:t>
      </w:r>
    </w:p>
    <w:p w14:paraId="3A5CD4F4" w14:textId="2ABAFFC6" w:rsidR="00885602" w:rsidRDefault="00885602" w:rsidP="00885602">
      <w:pPr>
        <w:pStyle w:val="Lijstalinea"/>
        <w:numPr>
          <w:ilvl w:val="0"/>
          <w:numId w:val="6"/>
        </w:numPr>
        <w:rPr>
          <w:rFonts w:ascii="Calibri" w:hAnsi="Calibri" w:cs="Calibri"/>
          <w:lang w:val="nl-BE"/>
        </w:rPr>
      </w:pPr>
      <w:r w:rsidRPr="00160D79">
        <w:rPr>
          <w:rFonts w:ascii="Calibri" w:hAnsi="Calibri" w:cs="Calibri"/>
          <w:lang w:val="nl-BE"/>
        </w:rPr>
        <w:t xml:space="preserve">Het ontwikkelen van tools en schrijven van richtlijnen die </w:t>
      </w:r>
      <w:r w:rsidR="00160D79" w:rsidRPr="00160D79">
        <w:rPr>
          <w:rFonts w:ascii="Calibri" w:hAnsi="Calibri" w:cs="Calibri"/>
          <w:lang w:val="nl-BE"/>
        </w:rPr>
        <w:t>door lidstaten en de verschillende actoren gebruikt kunnen worden voor een correcte interpretatie</w:t>
      </w:r>
      <w:r w:rsidR="00F412CC">
        <w:rPr>
          <w:rFonts w:ascii="Calibri" w:hAnsi="Calibri" w:cs="Calibri"/>
          <w:lang w:val="nl-BE"/>
        </w:rPr>
        <w:t xml:space="preserve"> van de verordeningen</w:t>
      </w:r>
      <w:r w:rsidR="00160D79" w:rsidRPr="00160D79">
        <w:rPr>
          <w:rFonts w:ascii="Calibri" w:hAnsi="Calibri" w:cs="Calibri"/>
          <w:lang w:val="nl-BE"/>
        </w:rPr>
        <w:t>.</w:t>
      </w:r>
    </w:p>
    <w:p w14:paraId="291C7380" w14:textId="2D6D63B7" w:rsidR="00160D79" w:rsidRDefault="00E86328" w:rsidP="00160D79">
      <w:pPr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De werkgroep heeft een lijst opgesteld met belangrijke actie</w:t>
      </w:r>
      <w:r w:rsidR="00F228AE">
        <w:rPr>
          <w:rFonts w:ascii="Calibri" w:hAnsi="Calibri" w:cs="Calibri"/>
          <w:lang w:val="nl-BE"/>
        </w:rPr>
        <w:t>punten en hun prioriteit. Deze werden gepubliceerd in</w:t>
      </w:r>
      <w:r>
        <w:rPr>
          <w:rFonts w:ascii="Calibri" w:hAnsi="Calibri" w:cs="Calibri"/>
          <w:lang w:val="nl-BE"/>
        </w:rPr>
        <w:t xml:space="preserve"> een </w:t>
      </w:r>
      <w:proofErr w:type="spellStart"/>
      <w:r>
        <w:rPr>
          <w:rFonts w:ascii="Calibri" w:hAnsi="Calibri" w:cs="Calibri"/>
          <w:lang w:val="nl-BE"/>
        </w:rPr>
        <w:t>roadmap</w:t>
      </w:r>
      <w:proofErr w:type="spellEnd"/>
      <w:r>
        <w:rPr>
          <w:rFonts w:ascii="Calibri" w:hAnsi="Calibri" w:cs="Calibri"/>
          <w:lang w:val="nl-BE"/>
        </w:rPr>
        <w:t xml:space="preserve"> (</w:t>
      </w:r>
      <w:proofErr w:type="spellStart"/>
      <w:r w:rsidR="0016297D">
        <w:fldChar w:fldCharType="begin"/>
      </w:r>
      <w:r w:rsidR="0016297D" w:rsidRPr="0016297D">
        <w:rPr>
          <w:lang w:val="nl-BE"/>
        </w:rPr>
        <w:instrText xml:space="preserve"> HYPERLINK "https://www.camd-europe.eu/wp-content/uploads/2018/02/NEWS_171107_MDR-IVDR_RoadMap_v1.3-1.pdf" </w:instrText>
      </w:r>
      <w:r w:rsidR="0016297D">
        <w:fldChar w:fldCharType="separate"/>
      </w:r>
      <w:r>
        <w:rPr>
          <w:rStyle w:val="Hyperlink"/>
          <w:rFonts w:ascii="Calibri" w:hAnsi="Calibri" w:cs="Calibri"/>
          <w:lang w:val="nl-BE"/>
        </w:rPr>
        <w:t>Roadmap</w:t>
      </w:r>
      <w:proofErr w:type="spellEnd"/>
      <w:r>
        <w:rPr>
          <w:rStyle w:val="Hyperlink"/>
          <w:rFonts w:ascii="Calibri" w:hAnsi="Calibri" w:cs="Calibri"/>
          <w:lang w:val="nl-BE"/>
        </w:rPr>
        <w:t xml:space="preserve"> MDR/IVDR</w:t>
      </w:r>
      <w:r w:rsidR="0016297D">
        <w:rPr>
          <w:rStyle w:val="Hyperlink"/>
          <w:rFonts w:ascii="Calibri" w:hAnsi="Calibri" w:cs="Calibri"/>
          <w:lang w:val="nl-BE"/>
        </w:rPr>
        <w:fldChar w:fldCharType="end"/>
      </w:r>
      <w:r w:rsidR="00F228AE">
        <w:rPr>
          <w:rFonts w:ascii="Calibri" w:hAnsi="Calibri" w:cs="Calibri"/>
          <w:lang w:val="nl-BE"/>
        </w:rPr>
        <w:t>)</w:t>
      </w:r>
      <w:r>
        <w:rPr>
          <w:rFonts w:ascii="Calibri" w:hAnsi="Calibri" w:cs="Calibri"/>
          <w:lang w:val="nl-BE"/>
        </w:rPr>
        <w:t>.</w:t>
      </w:r>
      <w:r w:rsidR="00F228AE">
        <w:rPr>
          <w:rFonts w:ascii="Calibri" w:hAnsi="Calibri" w:cs="Calibri"/>
          <w:lang w:val="nl-BE"/>
        </w:rPr>
        <w:t xml:space="preserve"> </w:t>
      </w:r>
      <w:r w:rsidR="0037141E">
        <w:rPr>
          <w:rFonts w:ascii="Calibri" w:hAnsi="Calibri" w:cs="Calibri"/>
          <w:lang w:val="nl-BE"/>
        </w:rPr>
        <w:t>Momenteel</w:t>
      </w:r>
      <w:r w:rsidR="00A656EA">
        <w:rPr>
          <w:rFonts w:ascii="Calibri" w:hAnsi="Calibri" w:cs="Calibri"/>
          <w:lang w:val="nl-BE"/>
        </w:rPr>
        <w:t xml:space="preserve"> </w:t>
      </w:r>
      <w:r w:rsidR="007E2421">
        <w:rPr>
          <w:rFonts w:ascii="Calibri" w:hAnsi="Calibri" w:cs="Calibri"/>
          <w:lang w:val="nl-BE"/>
        </w:rPr>
        <w:t xml:space="preserve">overlegt </w:t>
      </w:r>
      <w:r w:rsidR="0037141E">
        <w:rPr>
          <w:rFonts w:ascii="Calibri" w:hAnsi="Calibri" w:cs="Calibri"/>
          <w:lang w:val="nl-BE"/>
        </w:rPr>
        <w:t>de werkgroep met de betrokken partijen om voor elke actiepunt een projectplan en output te identificeren.</w:t>
      </w:r>
    </w:p>
    <w:p w14:paraId="2833B600" w14:textId="6C26A875" w:rsidR="00C65D30" w:rsidRPr="00F442AC" w:rsidRDefault="00132908" w:rsidP="00160D79">
      <w:pPr>
        <w:rPr>
          <w:b/>
          <w:lang w:val="nl-BE"/>
        </w:rPr>
      </w:pPr>
      <w:r w:rsidRPr="00F442AC">
        <w:rPr>
          <w:b/>
          <w:lang w:val="nl-BE"/>
        </w:rPr>
        <w:t>Reeds b</w:t>
      </w:r>
      <w:r w:rsidR="00C65D30" w:rsidRPr="00F442AC">
        <w:rPr>
          <w:b/>
          <w:lang w:val="nl-BE"/>
        </w:rPr>
        <w:t xml:space="preserve">eschikbare </w:t>
      </w:r>
      <w:r w:rsidR="00950F7D" w:rsidRPr="00F442AC">
        <w:rPr>
          <w:b/>
          <w:lang w:val="nl-BE"/>
        </w:rPr>
        <w:t>nuttige documenten</w:t>
      </w:r>
    </w:p>
    <w:p w14:paraId="3B685886" w14:textId="7E83C687" w:rsidR="005C709E" w:rsidRPr="00F93B27" w:rsidRDefault="00F93B27" w:rsidP="00F93B27">
      <w:pPr>
        <w:pStyle w:val="Lijstalinea"/>
        <w:numPr>
          <w:ilvl w:val="0"/>
          <w:numId w:val="6"/>
        </w:numPr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 xml:space="preserve">Richtlijnen betreffende UDI, de toekomstige nomenclatuur voor medische hulpmiddelen en de aanwijzing van aangemelde instanties, goedgekeurd door de </w:t>
      </w:r>
      <w:proofErr w:type="spellStart"/>
      <w:r>
        <w:rPr>
          <w:rFonts w:ascii="Calibri" w:hAnsi="Calibri" w:cs="Calibri"/>
          <w:lang w:val="nl-BE"/>
        </w:rPr>
        <w:t>Medical</w:t>
      </w:r>
      <w:proofErr w:type="spellEnd"/>
      <w:r>
        <w:rPr>
          <w:rFonts w:ascii="Calibri" w:hAnsi="Calibri" w:cs="Calibri"/>
          <w:lang w:val="nl-BE"/>
        </w:rPr>
        <w:t xml:space="preserve"> Device </w:t>
      </w:r>
      <w:proofErr w:type="spellStart"/>
      <w:r>
        <w:rPr>
          <w:rFonts w:ascii="Calibri" w:hAnsi="Calibri" w:cs="Calibri"/>
          <w:lang w:val="nl-BE"/>
        </w:rPr>
        <w:t>Coordination</w:t>
      </w:r>
      <w:proofErr w:type="spellEnd"/>
      <w:r>
        <w:rPr>
          <w:rFonts w:ascii="Calibri" w:hAnsi="Calibri" w:cs="Calibri"/>
          <w:lang w:val="nl-BE"/>
        </w:rPr>
        <w:t xml:space="preserve"> Group (MDCG)</w:t>
      </w:r>
      <w:r>
        <w:t xml:space="preserve"> - </w:t>
      </w:r>
      <w:hyperlink r:id="rId12" w:history="1">
        <w:r w:rsidR="007E2421">
          <w:rPr>
            <w:rStyle w:val="Hyperlink"/>
            <w:rFonts w:ascii="Calibri" w:hAnsi="Calibri" w:cs="Calibri"/>
            <w:lang w:val="nl-BE"/>
          </w:rPr>
          <w:t>EC Richtlijnen MDR/IVDR</w:t>
        </w:r>
      </w:hyperlink>
      <w:r w:rsidR="00C65D30">
        <w:rPr>
          <w:rFonts w:ascii="Calibri" w:hAnsi="Calibri" w:cs="Calibri"/>
          <w:lang w:val="nl-BE"/>
        </w:rPr>
        <w:br/>
      </w:r>
    </w:p>
    <w:p w14:paraId="17AC1A46" w14:textId="74824B85" w:rsidR="00231DA9" w:rsidRPr="00F93B27" w:rsidRDefault="00F93B27" w:rsidP="00F93B27">
      <w:pPr>
        <w:pStyle w:val="Lijstalinea"/>
        <w:numPr>
          <w:ilvl w:val="0"/>
          <w:numId w:val="6"/>
        </w:numPr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 xml:space="preserve">Informatie op maat van de verschillende stakeholders betreffende het project rond marktbewaking (JAMS - Joint Action on Market Surveillance of </w:t>
      </w:r>
      <w:proofErr w:type="spellStart"/>
      <w:r>
        <w:rPr>
          <w:rFonts w:ascii="Calibri" w:hAnsi="Calibri" w:cs="Calibri"/>
          <w:lang w:val="nl-BE"/>
        </w:rPr>
        <w:t>Medical</w:t>
      </w:r>
      <w:proofErr w:type="spellEnd"/>
      <w:r>
        <w:rPr>
          <w:rFonts w:ascii="Calibri" w:hAnsi="Calibri" w:cs="Calibri"/>
          <w:lang w:val="nl-BE"/>
        </w:rPr>
        <w:t xml:space="preserve"> </w:t>
      </w:r>
      <w:proofErr w:type="spellStart"/>
      <w:r>
        <w:rPr>
          <w:rFonts w:ascii="Calibri" w:hAnsi="Calibri" w:cs="Calibri"/>
          <w:lang w:val="nl-BE"/>
        </w:rPr>
        <w:t>Devices</w:t>
      </w:r>
      <w:proofErr w:type="spellEnd"/>
      <w:r>
        <w:rPr>
          <w:rFonts w:ascii="Calibri" w:hAnsi="Calibri" w:cs="Calibri"/>
          <w:lang w:val="nl-BE"/>
        </w:rPr>
        <w:t xml:space="preserve">) - </w:t>
      </w:r>
      <w:hyperlink r:id="rId13" w:history="1">
        <w:r w:rsidR="00F20668">
          <w:rPr>
            <w:rStyle w:val="Hyperlink"/>
            <w:rFonts w:ascii="Calibri" w:hAnsi="Calibri" w:cs="Calibri"/>
            <w:lang w:val="nl-BE"/>
          </w:rPr>
          <w:t>Market Surveillance - JAMS</w:t>
        </w:r>
      </w:hyperlink>
      <w:r w:rsidR="00F20668">
        <w:rPr>
          <w:rFonts w:ascii="Calibri" w:hAnsi="Calibri" w:cs="Calibri"/>
          <w:lang w:val="nl-BE"/>
        </w:rPr>
        <w:br/>
      </w:r>
    </w:p>
    <w:p w14:paraId="326D5E36" w14:textId="41899A8E" w:rsidR="00231DA9" w:rsidRPr="00F93B27" w:rsidRDefault="00F93B27" w:rsidP="00F93B27">
      <w:pPr>
        <w:pStyle w:val="Lijstalinea"/>
        <w:numPr>
          <w:ilvl w:val="0"/>
          <w:numId w:val="6"/>
        </w:numPr>
        <w:rPr>
          <w:rFonts w:ascii="Calibri" w:hAnsi="Calibri" w:cs="Calibri"/>
          <w:lang w:val="nl-BE"/>
        </w:rPr>
      </w:pPr>
      <w:r w:rsidRPr="00C144F4">
        <w:rPr>
          <w:rFonts w:ascii="Calibri" w:hAnsi="Calibri" w:cs="Calibri"/>
          <w:lang w:val="nl-BE"/>
        </w:rPr>
        <w:t>FAQ over de transitie van MDR/IVDR gepubliceerd door de CAMD transitie subgroep</w:t>
      </w:r>
      <w:r>
        <w:rPr>
          <w:rFonts w:ascii="Calibri" w:hAnsi="Calibri" w:cs="Calibri"/>
          <w:lang w:val="nl-BE"/>
        </w:rPr>
        <w:t xml:space="preserve"> - </w:t>
      </w:r>
      <w:hyperlink r:id="rId14" w:history="1">
        <w:r w:rsidR="00C144F4" w:rsidRPr="00F93B27">
          <w:rPr>
            <w:rStyle w:val="Hyperlink"/>
            <w:rFonts w:ascii="Calibri" w:hAnsi="Calibri" w:cs="Calibri"/>
            <w:lang w:val="nl-BE"/>
          </w:rPr>
          <w:t>MDR/IVDR Transitie FAQ</w:t>
        </w:r>
      </w:hyperlink>
      <w:r w:rsidR="00C144F4" w:rsidRPr="00F93B27">
        <w:rPr>
          <w:rFonts w:ascii="Calibri" w:hAnsi="Calibri" w:cs="Calibri"/>
          <w:lang w:val="nl-BE"/>
        </w:rPr>
        <w:br/>
      </w:r>
    </w:p>
    <w:p w14:paraId="6CFAF0A3" w14:textId="7C58B030" w:rsidR="0084583F" w:rsidRPr="00547CAB" w:rsidRDefault="009226FC" w:rsidP="000A50FE">
      <w:pPr>
        <w:rPr>
          <w:b/>
        </w:rPr>
      </w:pPr>
      <w:proofErr w:type="spellStart"/>
      <w:r w:rsidRPr="00547CAB">
        <w:rPr>
          <w:b/>
        </w:rPr>
        <w:t>Eudamed</w:t>
      </w:r>
      <w:proofErr w:type="spellEnd"/>
      <w:r w:rsidRPr="00547CAB">
        <w:rPr>
          <w:b/>
        </w:rPr>
        <w:t xml:space="preserve"> – European Databank on Medical Devices</w:t>
      </w:r>
    </w:p>
    <w:p w14:paraId="3CC8C36F" w14:textId="70A465FA" w:rsidR="001279DC" w:rsidRDefault="009226FC" w:rsidP="000A50FE">
      <w:pPr>
        <w:rPr>
          <w:lang w:val="nl-BE"/>
        </w:rPr>
      </w:pPr>
      <w:proofErr w:type="spellStart"/>
      <w:r w:rsidRPr="009226FC">
        <w:rPr>
          <w:lang w:val="nl-BE"/>
        </w:rPr>
        <w:t>Eudamed</w:t>
      </w:r>
      <w:proofErr w:type="spellEnd"/>
      <w:r w:rsidR="00ED2492">
        <w:rPr>
          <w:lang w:val="nl-BE"/>
        </w:rPr>
        <w:t xml:space="preserve"> (versie 2)</w:t>
      </w:r>
      <w:r w:rsidRPr="009226FC">
        <w:rPr>
          <w:lang w:val="nl-BE"/>
        </w:rPr>
        <w:t xml:space="preserve"> is de</w:t>
      </w:r>
      <w:r w:rsidR="007D1FB7">
        <w:rPr>
          <w:lang w:val="nl-BE"/>
        </w:rPr>
        <w:t>, reeds bestaande,</w:t>
      </w:r>
      <w:r w:rsidRPr="009226FC">
        <w:rPr>
          <w:lang w:val="nl-BE"/>
        </w:rPr>
        <w:t xml:space="preserve"> Europese </w:t>
      </w:r>
      <w:r w:rsidR="008066DB">
        <w:rPr>
          <w:lang w:val="nl-BE"/>
        </w:rPr>
        <w:t>d</w:t>
      </w:r>
      <w:r w:rsidRPr="009226FC">
        <w:rPr>
          <w:lang w:val="nl-BE"/>
        </w:rPr>
        <w:t xml:space="preserve">atabank voor </w:t>
      </w:r>
      <w:r w:rsidR="00A50447">
        <w:rPr>
          <w:lang w:val="nl-BE"/>
        </w:rPr>
        <w:t>m</w:t>
      </w:r>
      <w:r w:rsidR="00A50447" w:rsidRPr="009226FC">
        <w:rPr>
          <w:lang w:val="nl-BE"/>
        </w:rPr>
        <w:t xml:space="preserve">edische </w:t>
      </w:r>
      <w:r w:rsidR="00A50447">
        <w:rPr>
          <w:lang w:val="nl-BE"/>
        </w:rPr>
        <w:t>h</w:t>
      </w:r>
      <w:r w:rsidR="00A50447" w:rsidRPr="009226FC">
        <w:rPr>
          <w:lang w:val="nl-BE"/>
        </w:rPr>
        <w:t>ulpmiddelen</w:t>
      </w:r>
      <w:r w:rsidR="00ED2492">
        <w:rPr>
          <w:lang w:val="nl-BE"/>
        </w:rPr>
        <w:t xml:space="preserve">. Deze versie van </w:t>
      </w:r>
      <w:proofErr w:type="spellStart"/>
      <w:r w:rsidR="00ED2492">
        <w:rPr>
          <w:lang w:val="nl-BE"/>
        </w:rPr>
        <w:t>Eudamed</w:t>
      </w:r>
      <w:proofErr w:type="spellEnd"/>
      <w:r w:rsidR="00ED2492">
        <w:rPr>
          <w:lang w:val="nl-BE"/>
        </w:rPr>
        <w:t xml:space="preserve"> is enkel toegankelijk voor de bevoegde autoriteiten</w:t>
      </w:r>
      <w:r w:rsidRPr="009226FC">
        <w:rPr>
          <w:lang w:val="nl-BE"/>
        </w:rPr>
        <w:t xml:space="preserve">. </w:t>
      </w:r>
    </w:p>
    <w:p w14:paraId="013ABD54" w14:textId="176BF204" w:rsidR="003C4726" w:rsidRDefault="008066DB" w:rsidP="000A50FE">
      <w:pPr>
        <w:rPr>
          <w:lang w:val="nl-BE"/>
        </w:rPr>
      </w:pPr>
      <w:r>
        <w:rPr>
          <w:lang w:val="nl-BE"/>
        </w:rPr>
        <w:t>De toekomstige nieuwe Europese databank (art. 33 MDR</w:t>
      </w:r>
      <w:r w:rsidR="00F442AC">
        <w:rPr>
          <w:lang w:val="nl-BE"/>
        </w:rPr>
        <w:t>-2017/045</w:t>
      </w:r>
      <w:r w:rsidR="00D17A25">
        <w:rPr>
          <w:lang w:val="nl-BE"/>
        </w:rPr>
        <w:t xml:space="preserve"> en art.</w:t>
      </w:r>
      <w:r>
        <w:rPr>
          <w:lang w:val="nl-BE"/>
        </w:rPr>
        <w:t xml:space="preserve"> 30 IVDR</w:t>
      </w:r>
      <w:r w:rsidR="00F442AC">
        <w:rPr>
          <w:lang w:val="nl-BE"/>
        </w:rPr>
        <w:t>-2017-046</w:t>
      </w:r>
      <w:r>
        <w:rPr>
          <w:lang w:val="nl-BE"/>
        </w:rPr>
        <w:t>)</w:t>
      </w:r>
      <w:r w:rsidR="005775C4">
        <w:rPr>
          <w:lang w:val="nl-BE"/>
        </w:rPr>
        <w:t xml:space="preserve">, eveneens </w:t>
      </w:r>
      <w:proofErr w:type="spellStart"/>
      <w:r w:rsidR="005775C4">
        <w:rPr>
          <w:lang w:val="nl-BE"/>
        </w:rPr>
        <w:t>Eudamed</w:t>
      </w:r>
      <w:proofErr w:type="spellEnd"/>
      <w:r w:rsidR="005775C4">
        <w:rPr>
          <w:lang w:val="nl-BE"/>
        </w:rPr>
        <w:t xml:space="preserve"> genoemd, </w:t>
      </w:r>
      <w:r w:rsidR="00D17A25">
        <w:rPr>
          <w:lang w:val="nl-BE"/>
        </w:rPr>
        <w:t xml:space="preserve">bevat verschillende modules en </w:t>
      </w:r>
      <w:r>
        <w:rPr>
          <w:lang w:val="nl-BE"/>
        </w:rPr>
        <w:t xml:space="preserve">zal </w:t>
      </w:r>
      <w:r w:rsidR="00D17A25">
        <w:rPr>
          <w:lang w:val="nl-BE"/>
        </w:rPr>
        <w:t>beschikbaar zijn vanaf 25 maart 2020</w:t>
      </w:r>
      <w:r w:rsidR="005775C4">
        <w:rPr>
          <w:lang w:val="nl-BE"/>
        </w:rPr>
        <w:t xml:space="preserve">.  </w:t>
      </w:r>
      <w:r w:rsidR="00D17A25">
        <w:rPr>
          <w:lang w:val="nl-BE"/>
        </w:rPr>
        <w:t>De actoren hebben tot 18 maanden na de toepassingsdatum tijd om hun gegevens in het systeem te registreren.</w:t>
      </w:r>
    </w:p>
    <w:p w14:paraId="410EC35B" w14:textId="3B756798" w:rsidR="001279DC" w:rsidRPr="00D452DD" w:rsidRDefault="003C4726" w:rsidP="005C709E">
      <w:pPr>
        <w:pStyle w:val="Lijstalinea"/>
        <w:numPr>
          <w:ilvl w:val="0"/>
          <w:numId w:val="8"/>
        </w:numPr>
        <w:rPr>
          <w:lang w:val="nl-BE"/>
        </w:rPr>
      </w:pPr>
      <w:r w:rsidRPr="00D452DD">
        <w:rPr>
          <w:rFonts w:asciiTheme="minorHAnsi" w:hAnsiTheme="minorHAnsi"/>
          <w:lang w:val="nl-BE"/>
        </w:rPr>
        <w:lastRenderedPageBreak/>
        <w:t xml:space="preserve">ACT module. In deze module dienen de economische actoren (fabrikant, gemachtigde vertegenwoordiger en importeur) zich te registeren.  </w:t>
      </w:r>
      <w:r w:rsidR="00793539">
        <w:rPr>
          <w:rFonts w:asciiTheme="minorHAnsi" w:hAnsiTheme="minorHAnsi"/>
          <w:lang w:val="nl-BE"/>
        </w:rPr>
        <w:t>(art</w:t>
      </w:r>
      <w:r w:rsidR="00D17A25">
        <w:rPr>
          <w:rFonts w:asciiTheme="minorHAnsi" w:hAnsiTheme="minorHAnsi"/>
          <w:lang w:val="nl-BE"/>
        </w:rPr>
        <w:t>.</w:t>
      </w:r>
      <w:r w:rsidR="00793539">
        <w:rPr>
          <w:rFonts w:asciiTheme="minorHAnsi" w:hAnsiTheme="minorHAnsi"/>
          <w:lang w:val="nl-BE"/>
        </w:rPr>
        <w:t xml:space="preserve"> 30</w:t>
      </w:r>
      <w:r w:rsidR="0016297D">
        <w:rPr>
          <w:rFonts w:asciiTheme="minorHAnsi" w:hAnsiTheme="minorHAnsi"/>
          <w:lang w:val="nl-BE"/>
        </w:rPr>
        <w:t>, 31</w:t>
      </w:r>
      <w:r w:rsidR="00793539">
        <w:rPr>
          <w:rFonts w:asciiTheme="minorHAnsi" w:hAnsiTheme="minorHAnsi"/>
          <w:lang w:val="nl-BE"/>
        </w:rPr>
        <w:t xml:space="preserve"> MDR</w:t>
      </w:r>
      <w:r w:rsidR="00F442AC">
        <w:rPr>
          <w:rFonts w:asciiTheme="minorHAnsi" w:hAnsiTheme="minorHAnsi"/>
          <w:lang w:val="nl-BE"/>
        </w:rPr>
        <w:t xml:space="preserve">-2017/045 </w:t>
      </w:r>
      <w:r w:rsidR="00D17A25">
        <w:rPr>
          <w:rFonts w:asciiTheme="minorHAnsi" w:hAnsiTheme="minorHAnsi"/>
          <w:lang w:val="nl-BE"/>
        </w:rPr>
        <w:t>en</w:t>
      </w:r>
      <w:r w:rsidR="00793539">
        <w:rPr>
          <w:rFonts w:asciiTheme="minorHAnsi" w:hAnsiTheme="minorHAnsi"/>
          <w:lang w:val="nl-BE"/>
        </w:rPr>
        <w:t xml:space="preserve"> art</w:t>
      </w:r>
      <w:r w:rsidR="00D17A25">
        <w:rPr>
          <w:rFonts w:asciiTheme="minorHAnsi" w:hAnsiTheme="minorHAnsi"/>
          <w:lang w:val="nl-BE"/>
        </w:rPr>
        <w:t>.</w:t>
      </w:r>
      <w:r w:rsidR="00793539">
        <w:rPr>
          <w:rFonts w:asciiTheme="minorHAnsi" w:hAnsiTheme="minorHAnsi"/>
          <w:lang w:val="nl-BE"/>
        </w:rPr>
        <w:t xml:space="preserve"> 27</w:t>
      </w:r>
      <w:r w:rsidR="0016297D">
        <w:rPr>
          <w:rFonts w:asciiTheme="minorHAnsi" w:hAnsiTheme="minorHAnsi"/>
          <w:lang w:val="nl-BE"/>
        </w:rPr>
        <w:t>, 28</w:t>
      </w:r>
      <w:r w:rsidR="00793539">
        <w:rPr>
          <w:rFonts w:asciiTheme="minorHAnsi" w:hAnsiTheme="minorHAnsi"/>
          <w:lang w:val="nl-BE"/>
        </w:rPr>
        <w:t xml:space="preserve"> IVDR</w:t>
      </w:r>
      <w:r w:rsidR="00F442AC">
        <w:rPr>
          <w:rFonts w:asciiTheme="minorHAnsi" w:hAnsiTheme="minorHAnsi"/>
          <w:lang w:val="nl-BE"/>
        </w:rPr>
        <w:t>-2017/046</w:t>
      </w:r>
      <w:r w:rsidR="00793539">
        <w:rPr>
          <w:rFonts w:asciiTheme="minorHAnsi" w:hAnsiTheme="minorHAnsi"/>
          <w:lang w:val="nl-BE"/>
        </w:rPr>
        <w:t>)</w:t>
      </w:r>
      <w:r w:rsidR="00F442AC">
        <w:rPr>
          <w:rFonts w:asciiTheme="minorHAnsi" w:hAnsiTheme="minorHAnsi"/>
          <w:lang w:val="nl-BE"/>
        </w:rPr>
        <w:t>.</w:t>
      </w:r>
    </w:p>
    <w:p w14:paraId="1BE42940" w14:textId="597F9077" w:rsidR="00D452DD" w:rsidRDefault="003C4726" w:rsidP="005C709E">
      <w:pPr>
        <w:pStyle w:val="Lijstalinea"/>
        <w:numPr>
          <w:ilvl w:val="0"/>
          <w:numId w:val="8"/>
        </w:numPr>
        <w:rPr>
          <w:lang w:val="nl-BE"/>
        </w:rPr>
      </w:pPr>
      <w:r w:rsidRPr="00D452DD">
        <w:rPr>
          <w:rFonts w:asciiTheme="minorHAnsi" w:hAnsiTheme="minorHAnsi"/>
          <w:lang w:val="nl-BE"/>
        </w:rPr>
        <w:t>UDID module. In deze module dienen de verschillende medische hulpm</w:t>
      </w:r>
      <w:r w:rsidR="00D452DD">
        <w:rPr>
          <w:rFonts w:asciiTheme="minorHAnsi" w:hAnsiTheme="minorHAnsi"/>
          <w:lang w:val="nl-BE"/>
        </w:rPr>
        <w:t>iddelen geregistreerd te worden. Ook de UDI databank is een onderdeel van deze module.</w:t>
      </w:r>
      <w:r w:rsidR="00793539">
        <w:rPr>
          <w:rFonts w:asciiTheme="minorHAnsi" w:hAnsiTheme="minorHAnsi"/>
          <w:lang w:val="nl-BE"/>
        </w:rPr>
        <w:t xml:space="preserve"> (art</w:t>
      </w:r>
      <w:r w:rsidR="00D17A25">
        <w:rPr>
          <w:rFonts w:asciiTheme="minorHAnsi" w:hAnsiTheme="minorHAnsi"/>
          <w:lang w:val="nl-BE"/>
        </w:rPr>
        <w:t>.</w:t>
      </w:r>
      <w:r w:rsidR="00793539">
        <w:rPr>
          <w:rFonts w:asciiTheme="minorHAnsi" w:hAnsiTheme="minorHAnsi"/>
          <w:lang w:val="nl-BE"/>
        </w:rPr>
        <w:t xml:space="preserve"> 28, </w:t>
      </w:r>
      <w:r w:rsidR="0016297D">
        <w:rPr>
          <w:rFonts w:asciiTheme="minorHAnsi" w:hAnsiTheme="minorHAnsi"/>
          <w:lang w:val="nl-BE"/>
        </w:rPr>
        <w:t>29</w:t>
      </w:r>
      <w:r w:rsidR="00793539">
        <w:rPr>
          <w:rFonts w:asciiTheme="minorHAnsi" w:hAnsiTheme="minorHAnsi"/>
          <w:lang w:val="nl-BE"/>
        </w:rPr>
        <w:t xml:space="preserve"> MDR</w:t>
      </w:r>
      <w:r w:rsidR="00F442AC">
        <w:rPr>
          <w:rFonts w:asciiTheme="minorHAnsi" w:hAnsiTheme="minorHAnsi"/>
          <w:lang w:val="nl-BE"/>
        </w:rPr>
        <w:t>-2017/045</w:t>
      </w:r>
      <w:r w:rsidR="00D17A25">
        <w:rPr>
          <w:rFonts w:asciiTheme="minorHAnsi" w:hAnsiTheme="minorHAnsi"/>
          <w:lang w:val="nl-BE"/>
        </w:rPr>
        <w:t xml:space="preserve"> en </w:t>
      </w:r>
      <w:r w:rsidR="00793539">
        <w:rPr>
          <w:rFonts w:asciiTheme="minorHAnsi" w:hAnsiTheme="minorHAnsi"/>
          <w:lang w:val="nl-BE"/>
        </w:rPr>
        <w:t>art</w:t>
      </w:r>
      <w:r w:rsidR="00D17A25">
        <w:rPr>
          <w:rFonts w:asciiTheme="minorHAnsi" w:hAnsiTheme="minorHAnsi"/>
          <w:lang w:val="nl-BE"/>
        </w:rPr>
        <w:t>.</w:t>
      </w:r>
      <w:r w:rsidR="00793539">
        <w:rPr>
          <w:rFonts w:asciiTheme="minorHAnsi" w:hAnsiTheme="minorHAnsi"/>
          <w:lang w:val="nl-BE"/>
        </w:rPr>
        <w:t xml:space="preserve"> 25, 26 IVDR</w:t>
      </w:r>
      <w:r w:rsidR="00F442AC">
        <w:rPr>
          <w:rFonts w:asciiTheme="minorHAnsi" w:hAnsiTheme="minorHAnsi"/>
          <w:lang w:val="nl-BE"/>
        </w:rPr>
        <w:t>-2017/046</w:t>
      </w:r>
      <w:r w:rsidR="00793539">
        <w:rPr>
          <w:rFonts w:asciiTheme="minorHAnsi" w:hAnsiTheme="minorHAnsi"/>
          <w:lang w:val="nl-BE"/>
        </w:rPr>
        <w:t>)</w:t>
      </w:r>
    </w:p>
    <w:p w14:paraId="6CA08389" w14:textId="11053126" w:rsidR="00D452DD" w:rsidRDefault="00D452DD" w:rsidP="005C709E">
      <w:pPr>
        <w:pStyle w:val="Lijstalinea"/>
        <w:numPr>
          <w:ilvl w:val="0"/>
          <w:numId w:val="8"/>
        </w:numPr>
        <w:rPr>
          <w:lang w:val="nl-BE"/>
        </w:rPr>
      </w:pPr>
      <w:r>
        <w:rPr>
          <w:rFonts w:asciiTheme="minorHAnsi" w:hAnsiTheme="minorHAnsi"/>
          <w:lang w:val="nl-BE"/>
        </w:rPr>
        <w:t xml:space="preserve">CRF module. In deze module dienen </w:t>
      </w:r>
      <w:r w:rsidR="000F1052">
        <w:rPr>
          <w:rFonts w:asciiTheme="minorHAnsi" w:hAnsiTheme="minorHAnsi"/>
          <w:lang w:val="nl-BE"/>
        </w:rPr>
        <w:t>de</w:t>
      </w:r>
      <w:r>
        <w:rPr>
          <w:rFonts w:asciiTheme="minorHAnsi" w:hAnsiTheme="minorHAnsi"/>
          <w:lang w:val="nl-BE"/>
        </w:rPr>
        <w:t xml:space="preserve"> aangemelde instanties zich en de certificaten die zij hebben afgeleverd te registreren</w:t>
      </w:r>
      <w:r w:rsidR="00793539">
        <w:rPr>
          <w:rFonts w:asciiTheme="minorHAnsi" w:hAnsiTheme="minorHAnsi"/>
          <w:lang w:val="nl-BE"/>
        </w:rPr>
        <w:t>. (art</w:t>
      </w:r>
      <w:r w:rsidR="00D17A25">
        <w:rPr>
          <w:rFonts w:asciiTheme="minorHAnsi" w:hAnsiTheme="minorHAnsi"/>
          <w:lang w:val="nl-BE"/>
        </w:rPr>
        <w:t>.</w:t>
      </w:r>
      <w:r w:rsidR="00793539">
        <w:rPr>
          <w:rFonts w:asciiTheme="minorHAnsi" w:hAnsiTheme="minorHAnsi"/>
          <w:lang w:val="nl-BE"/>
        </w:rPr>
        <w:t xml:space="preserve"> 57 MDR</w:t>
      </w:r>
      <w:r w:rsidR="00F442AC">
        <w:rPr>
          <w:rFonts w:asciiTheme="minorHAnsi" w:hAnsiTheme="minorHAnsi"/>
          <w:lang w:val="nl-BE"/>
        </w:rPr>
        <w:t>-2017/045</w:t>
      </w:r>
      <w:r w:rsidR="00793539">
        <w:rPr>
          <w:rFonts w:asciiTheme="minorHAnsi" w:hAnsiTheme="minorHAnsi"/>
          <w:lang w:val="nl-BE"/>
        </w:rPr>
        <w:t xml:space="preserve"> </w:t>
      </w:r>
      <w:r w:rsidR="00D17A25">
        <w:rPr>
          <w:rFonts w:asciiTheme="minorHAnsi" w:hAnsiTheme="minorHAnsi"/>
          <w:lang w:val="nl-BE"/>
        </w:rPr>
        <w:t>en</w:t>
      </w:r>
      <w:r w:rsidR="00793539">
        <w:rPr>
          <w:rFonts w:asciiTheme="minorHAnsi" w:hAnsiTheme="minorHAnsi"/>
          <w:lang w:val="nl-BE"/>
        </w:rPr>
        <w:t xml:space="preserve"> art</w:t>
      </w:r>
      <w:r w:rsidR="00D17A25">
        <w:rPr>
          <w:rFonts w:asciiTheme="minorHAnsi" w:hAnsiTheme="minorHAnsi"/>
          <w:lang w:val="nl-BE"/>
        </w:rPr>
        <w:t>.</w:t>
      </w:r>
      <w:r w:rsidR="00793539">
        <w:rPr>
          <w:rFonts w:asciiTheme="minorHAnsi" w:hAnsiTheme="minorHAnsi"/>
          <w:lang w:val="nl-BE"/>
        </w:rPr>
        <w:t xml:space="preserve"> 52 IVDR</w:t>
      </w:r>
      <w:r w:rsidR="00F442AC">
        <w:rPr>
          <w:rFonts w:asciiTheme="minorHAnsi" w:hAnsiTheme="minorHAnsi"/>
          <w:lang w:val="nl-BE"/>
        </w:rPr>
        <w:t>-2017/046</w:t>
      </w:r>
      <w:r w:rsidR="00793539">
        <w:rPr>
          <w:rFonts w:asciiTheme="minorHAnsi" w:hAnsiTheme="minorHAnsi"/>
          <w:lang w:val="nl-BE"/>
        </w:rPr>
        <w:t>)</w:t>
      </w:r>
    </w:p>
    <w:p w14:paraId="75568896" w14:textId="6C28D856" w:rsidR="00D452DD" w:rsidRDefault="00D452DD" w:rsidP="005C709E">
      <w:pPr>
        <w:pStyle w:val="Lijstalinea"/>
        <w:numPr>
          <w:ilvl w:val="0"/>
          <w:numId w:val="8"/>
        </w:numPr>
        <w:rPr>
          <w:lang w:val="nl-BE"/>
        </w:rPr>
      </w:pPr>
      <w:r>
        <w:rPr>
          <w:rFonts w:asciiTheme="minorHAnsi" w:hAnsiTheme="minorHAnsi"/>
          <w:lang w:val="nl-BE"/>
        </w:rPr>
        <w:t xml:space="preserve">CIPS module. In deze module dienen alle klinische onderzoeken en  </w:t>
      </w:r>
      <w:r w:rsidR="009546C5">
        <w:rPr>
          <w:rFonts w:asciiTheme="minorHAnsi" w:hAnsiTheme="minorHAnsi"/>
          <w:lang w:val="nl-BE"/>
        </w:rPr>
        <w:t>prestatiebeoordelingen geregistreerd te worden</w:t>
      </w:r>
      <w:r w:rsidR="00793539">
        <w:rPr>
          <w:rFonts w:asciiTheme="minorHAnsi" w:hAnsiTheme="minorHAnsi"/>
          <w:lang w:val="nl-BE"/>
        </w:rPr>
        <w:t>. (art</w:t>
      </w:r>
      <w:r w:rsidR="00D17A25">
        <w:rPr>
          <w:rFonts w:asciiTheme="minorHAnsi" w:hAnsiTheme="minorHAnsi"/>
          <w:lang w:val="nl-BE"/>
        </w:rPr>
        <w:t>.</w:t>
      </w:r>
      <w:r w:rsidR="00793539">
        <w:rPr>
          <w:rFonts w:asciiTheme="minorHAnsi" w:hAnsiTheme="minorHAnsi"/>
          <w:lang w:val="nl-BE"/>
        </w:rPr>
        <w:t xml:space="preserve"> </w:t>
      </w:r>
      <w:r w:rsidR="0016297D">
        <w:rPr>
          <w:rFonts w:asciiTheme="minorHAnsi" w:hAnsiTheme="minorHAnsi"/>
          <w:lang w:val="nl-BE"/>
        </w:rPr>
        <w:t>73, 74</w:t>
      </w:r>
      <w:r w:rsidR="00793539">
        <w:rPr>
          <w:rFonts w:asciiTheme="minorHAnsi" w:hAnsiTheme="minorHAnsi"/>
          <w:lang w:val="nl-BE"/>
        </w:rPr>
        <w:t xml:space="preserve"> MDR</w:t>
      </w:r>
      <w:r w:rsidR="00F442AC">
        <w:rPr>
          <w:rFonts w:asciiTheme="minorHAnsi" w:hAnsiTheme="minorHAnsi"/>
          <w:lang w:val="nl-BE"/>
        </w:rPr>
        <w:t>-2017/045</w:t>
      </w:r>
      <w:r w:rsidR="00D17A25">
        <w:rPr>
          <w:rFonts w:asciiTheme="minorHAnsi" w:hAnsiTheme="minorHAnsi"/>
          <w:lang w:val="nl-BE"/>
        </w:rPr>
        <w:t xml:space="preserve"> en</w:t>
      </w:r>
      <w:r w:rsidR="00793539">
        <w:rPr>
          <w:rFonts w:asciiTheme="minorHAnsi" w:hAnsiTheme="minorHAnsi"/>
          <w:lang w:val="nl-BE"/>
        </w:rPr>
        <w:t xml:space="preserve"> art</w:t>
      </w:r>
      <w:r w:rsidR="00D17A25">
        <w:rPr>
          <w:rFonts w:asciiTheme="minorHAnsi" w:hAnsiTheme="minorHAnsi"/>
          <w:lang w:val="nl-BE"/>
        </w:rPr>
        <w:t>.</w:t>
      </w:r>
      <w:r w:rsidR="00793539">
        <w:rPr>
          <w:rFonts w:asciiTheme="minorHAnsi" w:hAnsiTheme="minorHAnsi"/>
          <w:lang w:val="nl-BE"/>
        </w:rPr>
        <w:t xml:space="preserve"> </w:t>
      </w:r>
      <w:r w:rsidR="0016297D">
        <w:rPr>
          <w:rFonts w:asciiTheme="minorHAnsi" w:hAnsiTheme="minorHAnsi"/>
          <w:lang w:val="nl-BE"/>
        </w:rPr>
        <w:t>69, 70</w:t>
      </w:r>
      <w:r w:rsidR="00793539">
        <w:rPr>
          <w:rFonts w:asciiTheme="minorHAnsi" w:hAnsiTheme="minorHAnsi"/>
          <w:lang w:val="nl-BE"/>
        </w:rPr>
        <w:t xml:space="preserve"> IVDR</w:t>
      </w:r>
      <w:r w:rsidR="00F442AC">
        <w:rPr>
          <w:rFonts w:asciiTheme="minorHAnsi" w:hAnsiTheme="minorHAnsi"/>
          <w:lang w:val="nl-BE"/>
        </w:rPr>
        <w:t>-2017/046</w:t>
      </w:r>
      <w:r w:rsidR="00793539">
        <w:rPr>
          <w:rFonts w:asciiTheme="minorHAnsi" w:hAnsiTheme="minorHAnsi"/>
          <w:lang w:val="nl-BE"/>
        </w:rPr>
        <w:t>)</w:t>
      </w:r>
    </w:p>
    <w:p w14:paraId="6D214DE2" w14:textId="51800ECA" w:rsidR="003C4726" w:rsidRPr="00793539" w:rsidRDefault="009546C5" w:rsidP="005C709E">
      <w:pPr>
        <w:pStyle w:val="Lijstalinea"/>
        <w:numPr>
          <w:ilvl w:val="0"/>
          <w:numId w:val="8"/>
        </w:numPr>
        <w:rPr>
          <w:lang w:val="nl-BE"/>
        </w:rPr>
      </w:pPr>
      <w:r>
        <w:rPr>
          <w:rFonts w:asciiTheme="minorHAnsi" w:hAnsiTheme="minorHAnsi"/>
          <w:lang w:val="nl-BE"/>
        </w:rPr>
        <w:t xml:space="preserve">VGL module. In deze module dienen alle post-market surveillance </w:t>
      </w:r>
      <w:r w:rsidRPr="00793539">
        <w:rPr>
          <w:rFonts w:asciiTheme="minorHAnsi" w:hAnsiTheme="minorHAnsi"/>
          <w:lang w:val="nl-BE"/>
        </w:rPr>
        <w:t>en vigilantiemeldingen geregistreerd te worden.</w:t>
      </w:r>
      <w:r w:rsidR="00793539">
        <w:rPr>
          <w:rFonts w:asciiTheme="minorHAnsi" w:hAnsiTheme="minorHAnsi"/>
          <w:lang w:val="nl-BE"/>
        </w:rPr>
        <w:t xml:space="preserve"> (art</w:t>
      </w:r>
      <w:r w:rsidR="00D17A25">
        <w:rPr>
          <w:rFonts w:asciiTheme="minorHAnsi" w:hAnsiTheme="minorHAnsi"/>
          <w:lang w:val="nl-BE"/>
        </w:rPr>
        <w:t>.</w:t>
      </w:r>
      <w:r w:rsidR="00793539">
        <w:rPr>
          <w:rFonts w:asciiTheme="minorHAnsi" w:hAnsiTheme="minorHAnsi"/>
          <w:lang w:val="nl-BE"/>
        </w:rPr>
        <w:t xml:space="preserve"> 92 MDR</w:t>
      </w:r>
      <w:r w:rsidR="00F442AC">
        <w:rPr>
          <w:rFonts w:asciiTheme="minorHAnsi" w:hAnsiTheme="minorHAnsi"/>
          <w:lang w:val="nl-BE"/>
        </w:rPr>
        <w:t>-2017/045</w:t>
      </w:r>
      <w:r w:rsidR="00D17A25">
        <w:rPr>
          <w:rFonts w:asciiTheme="minorHAnsi" w:hAnsiTheme="minorHAnsi"/>
          <w:lang w:val="nl-BE"/>
        </w:rPr>
        <w:t xml:space="preserve"> en</w:t>
      </w:r>
      <w:r w:rsidR="00793539">
        <w:rPr>
          <w:rFonts w:asciiTheme="minorHAnsi" w:hAnsiTheme="minorHAnsi"/>
          <w:lang w:val="nl-BE"/>
        </w:rPr>
        <w:t xml:space="preserve"> art</w:t>
      </w:r>
      <w:r w:rsidR="00D17A25">
        <w:rPr>
          <w:rFonts w:asciiTheme="minorHAnsi" w:hAnsiTheme="minorHAnsi"/>
          <w:lang w:val="nl-BE"/>
        </w:rPr>
        <w:t>.</w:t>
      </w:r>
      <w:r w:rsidR="00793539">
        <w:rPr>
          <w:rFonts w:asciiTheme="minorHAnsi" w:hAnsiTheme="minorHAnsi"/>
          <w:lang w:val="nl-BE"/>
        </w:rPr>
        <w:t xml:space="preserve"> 87 IVDR</w:t>
      </w:r>
      <w:r w:rsidR="00F442AC">
        <w:rPr>
          <w:rFonts w:asciiTheme="minorHAnsi" w:hAnsiTheme="minorHAnsi"/>
          <w:lang w:val="nl-BE"/>
        </w:rPr>
        <w:t>-2017/046</w:t>
      </w:r>
      <w:r w:rsidR="00793539">
        <w:rPr>
          <w:rFonts w:asciiTheme="minorHAnsi" w:hAnsiTheme="minorHAnsi"/>
          <w:lang w:val="nl-BE"/>
        </w:rPr>
        <w:t xml:space="preserve">) </w:t>
      </w:r>
    </w:p>
    <w:p w14:paraId="599FDE89" w14:textId="4385ED54" w:rsidR="009546C5" w:rsidRPr="005C709E" w:rsidRDefault="003B201F" w:rsidP="005C709E">
      <w:pPr>
        <w:pStyle w:val="Lijstalinea"/>
        <w:numPr>
          <w:ilvl w:val="0"/>
          <w:numId w:val="8"/>
        </w:numPr>
        <w:rPr>
          <w:lang w:val="nl-BE"/>
        </w:rPr>
      </w:pPr>
      <w:r>
        <w:rPr>
          <w:rFonts w:cstheme="minorHAnsi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C93A052" wp14:editId="117807B0">
            <wp:simplePos x="0" y="0"/>
            <wp:positionH relativeFrom="margin">
              <wp:align>left</wp:align>
            </wp:positionH>
            <wp:positionV relativeFrom="paragraph">
              <wp:posOffset>523875</wp:posOffset>
            </wp:positionV>
            <wp:extent cx="5591175" cy="3355975"/>
            <wp:effectExtent l="0" t="0" r="9525" b="0"/>
            <wp:wrapTopAndBottom/>
            <wp:docPr id="212" name="Afbeelding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Eudamed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335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46C5">
        <w:rPr>
          <w:rFonts w:asciiTheme="minorHAnsi" w:hAnsiTheme="minorHAnsi"/>
          <w:lang w:val="nl-BE"/>
        </w:rPr>
        <w:t xml:space="preserve">MSU module. Een module waarin de verschillende bevoegde autoriteiten hun market surveillance acties kunnen coördineren. </w:t>
      </w:r>
      <w:r w:rsidR="00793539">
        <w:rPr>
          <w:rFonts w:asciiTheme="minorHAnsi" w:hAnsiTheme="minorHAnsi"/>
          <w:lang w:val="nl-BE"/>
        </w:rPr>
        <w:t>(art</w:t>
      </w:r>
      <w:r w:rsidR="00D17A25">
        <w:rPr>
          <w:rFonts w:asciiTheme="minorHAnsi" w:hAnsiTheme="minorHAnsi"/>
          <w:lang w:val="nl-BE"/>
        </w:rPr>
        <w:t>.</w:t>
      </w:r>
      <w:r w:rsidR="00793539">
        <w:rPr>
          <w:rFonts w:asciiTheme="minorHAnsi" w:hAnsiTheme="minorHAnsi"/>
          <w:lang w:val="nl-BE"/>
        </w:rPr>
        <w:t xml:space="preserve"> 100 MDR</w:t>
      </w:r>
      <w:r w:rsidR="00F442AC">
        <w:rPr>
          <w:rFonts w:asciiTheme="minorHAnsi" w:hAnsiTheme="minorHAnsi"/>
          <w:lang w:val="nl-BE"/>
        </w:rPr>
        <w:t>-2017/045</w:t>
      </w:r>
      <w:r w:rsidR="00793539">
        <w:rPr>
          <w:rFonts w:asciiTheme="minorHAnsi" w:hAnsiTheme="minorHAnsi"/>
          <w:lang w:val="nl-BE"/>
        </w:rPr>
        <w:t xml:space="preserve"> </w:t>
      </w:r>
      <w:r w:rsidR="00D17A25">
        <w:rPr>
          <w:rFonts w:asciiTheme="minorHAnsi" w:hAnsiTheme="minorHAnsi"/>
          <w:lang w:val="nl-BE"/>
        </w:rPr>
        <w:t>en</w:t>
      </w:r>
      <w:r w:rsidR="00793539">
        <w:rPr>
          <w:rFonts w:asciiTheme="minorHAnsi" w:hAnsiTheme="minorHAnsi"/>
          <w:lang w:val="nl-BE"/>
        </w:rPr>
        <w:t xml:space="preserve"> art</w:t>
      </w:r>
      <w:r w:rsidR="00D17A25">
        <w:rPr>
          <w:rFonts w:asciiTheme="minorHAnsi" w:hAnsiTheme="minorHAnsi"/>
          <w:lang w:val="nl-BE"/>
        </w:rPr>
        <w:t>.</w:t>
      </w:r>
      <w:r w:rsidR="00793539">
        <w:rPr>
          <w:rFonts w:asciiTheme="minorHAnsi" w:hAnsiTheme="minorHAnsi"/>
          <w:lang w:val="nl-BE"/>
        </w:rPr>
        <w:t xml:space="preserve"> 95 IVDR</w:t>
      </w:r>
      <w:r w:rsidR="00F442AC">
        <w:rPr>
          <w:rFonts w:asciiTheme="minorHAnsi" w:hAnsiTheme="minorHAnsi"/>
          <w:lang w:val="nl-BE"/>
        </w:rPr>
        <w:t>-2017/046</w:t>
      </w:r>
      <w:r w:rsidR="00793539">
        <w:rPr>
          <w:rFonts w:asciiTheme="minorHAnsi" w:hAnsiTheme="minorHAnsi"/>
          <w:lang w:val="nl-BE"/>
        </w:rPr>
        <w:t>)</w:t>
      </w:r>
    </w:p>
    <w:p w14:paraId="1C2FFDE8" w14:textId="3D543262" w:rsidR="00F42CF1" w:rsidRPr="005C709E" w:rsidRDefault="00F42CF1" w:rsidP="00B20B9C">
      <w:pPr>
        <w:rPr>
          <w:rFonts w:cstheme="minorHAnsi"/>
          <w:lang w:val="nl-BE"/>
        </w:rPr>
      </w:pPr>
    </w:p>
    <w:p w14:paraId="11055196" w14:textId="03EE78A6" w:rsidR="0084583F" w:rsidRPr="009226FC" w:rsidRDefault="000F1052" w:rsidP="000A50FE">
      <w:pPr>
        <w:rPr>
          <w:lang w:val="nl-BE"/>
        </w:rPr>
      </w:pPr>
      <w:r>
        <w:rPr>
          <w:lang w:val="nl-BE"/>
        </w:rPr>
        <w:t xml:space="preserve">De verschillende modules zijn met elkaar geconnecteerd.  </w:t>
      </w:r>
      <w:r w:rsidR="00DB46A5">
        <w:rPr>
          <w:lang w:val="nl-BE"/>
        </w:rPr>
        <w:t>D</w:t>
      </w:r>
      <w:r>
        <w:rPr>
          <w:lang w:val="nl-BE"/>
        </w:rPr>
        <w:t>e</w:t>
      </w:r>
      <w:r w:rsidR="00DB46A5">
        <w:rPr>
          <w:lang w:val="nl-BE"/>
        </w:rPr>
        <w:t xml:space="preserve"> te registeren</w:t>
      </w:r>
      <w:r>
        <w:rPr>
          <w:lang w:val="nl-BE"/>
        </w:rPr>
        <w:t xml:space="preserve"> informatie kan zowel via een web interface als via –machine-2-machine ingegeven worden. </w:t>
      </w:r>
      <w:r w:rsidR="00F47EB7">
        <w:rPr>
          <w:lang w:val="nl-BE"/>
        </w:rPr>
        <w:t>Het is de verantwoordelijkheid van de</w:t>
      </w:r>
      <w:r w:rsidR="00950F7D">
        <w:rPr>
          <w:lang w:val="nl-BE"/>
        </w:rPr>
        <w:t xml:space="preserve"> bevoegde overheden, aangemelde instanties,</w:t>
      </w:r>
      <w:r w:rsidR="00F47EB7">
        <w:rPr>
          <w:lang w:val="nl-BE"/>
        </w:rPr>
        <w:t xml:space="preserve"> fabrikanten, importeurs, en wettelijke vertegenwoordigers om de informatie in </w:t>
      </w:r>
      <w:proofErr w:type="spellStart"/>
      <w:r w:rsidR="00F47EB7">
        <w:rPr>
          <w:lang w:val="nl-BE"/>
        </w:rPr>
        <w:t>Eudamed</w:t>
      </w:r>
      <w:proofErr w:type="spellEnd"/>
      <w:r w:rsidR="00F47EB7">
        <w:rPr>
          <w:lang w:val="nl-BE"/>
        </w:rPr>
        <w:t xml:space="preserve"> in te voeren en up-to-date te houden.</w:t>
      </w:r>
      <w:r w:rsidR="00950F7D">
        <w:rPr>
          <w:lang w:val="nl-BE"/>
        </w:rPr>
        <w:t xml:space="preserve"> </w:t>
      </w:r>
      <w:r w:rsidR="009546C5">
        <w:rPr>
          <w:lang w:val="nl-BE"/>
        </w:rPr>
        <w:t xml:space="preserve">Het merendeel van de informatie uit modules ACT, UDID, CRF zal publiek beschikbaar zijn. </w:t>
      </w:r>
      <w:r w:rsidR="00793539">
        <w:rPr>
          <w:lang w:val="nl-BE"/>
        </w:rPr>
        <w:t xml:space="preserve"> D</w:t>
      </w:r>
      <w:r w:rsidR="009546C5">
        <w:rPr>
          <w:lang w:val="nl-BE"/>
        </w:rPr>
        <w:t xml:space="preserve">e </w:t>
      </w:r>
      <w:r w:rsidR="00793539">
        <w:rPr>
          <w:lang w:val="nl-BE"/>
        </w:rPr>
        <w:t xml:space="preserve"> informatie uit </w:t>
      </w:r>
      <w:r w:rsidR="009546C5">
        <w:rPr>
          <w:lang w:val="nl-BE"/>
        </w:rPr>
        <w:t xml:space="preserve">andere modules </w:t>
      </w:r>
      <w:r w:rsidR="00793539">
        <w:rPr>
          <w:lang w:val="nl-BE"/>
        </w:rPr>
        <w:t>zal beperkt (CIPS, VGL) of niet (MSU) publiek beschikbaar zijn.</w:t>
      </w:r>
    </w:p>
    <w:sectPr w:rsidR="0084583F" w:rsidRPr="00922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undesSerif Office">
    <w:altName w:val="Book Antiqua"/>
    <w:charset w:val="00"/>
    <w:family w:val="roman"/>
    <w:pitch w:val="variable"/>
    <w:sig w:usb0="00000001" w:usb1="4000206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73B3"/>
    <w:multiLevelType w:val="hybridMultilevel"/>
    <w:tmpl w:val="BFB29F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86710"/>
    <w:multiLevelType w:val="hybridMultilevel"/>
    <w:tmpl w:val="5672A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07ADE"/>
    <w:multiLevelType w:val="hybridMultilevel"/>
    <w:tmpl w:val="4ADC6B4A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CF24A4A"/>
    <w:multiLevelType w:val="hybridMultilevel"/>
    <w:tmpl w:val="7A8852BE"/>
    <w:lvl w:ilvl="0" w:tplc="1FD6C9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23F5B"/>
    <w:multiLevelType w:val="hybridMultilevel"/>
    <w:tmpl w:val="96F472B0"/>
    <w:lvl w:ilvl="0" w:tplc="1FD6C9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43BB2"/>
    <w:multiLevelType w:val="hybridMultilevel"/>
    <w:tmpl w:val="C63471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4798B"/>
    <w:multiLevelType w:val="hybridMultilevel"/>
    <w:tmpl w:val="329E2F1C"/>
    <w:lvl w:ilvl="0" w:tplc="1FD6C9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94ACE"/>
    <w:multiLevelType w:val="hybridMultilevel"/>
    <w:tmpl w:val="061A78C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31203D"/>
    <w:multiLevelType w:val="hybridMultilevel"/>
    <w:tmpl w:val="100C151E"/>
    <w:lvl w:ilvl="0" w:tplc="1FD6C9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559E0"/>
    <w:multiLevelType w:val="hybridMultilevel"/>
    <w:tmpl w:val="2BF60268"/>
    <w:lvl w:ilvl="0" w:tplc="1FD6C9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D2"/>
    <w:rsid w:val="0000583D"/>
    <w:rsid w:val="000138CC"/>
    <w:rsid w:val="000318FC"/>
    <w:rsid w:val="000446C9"/>
    <w:rsid w:val="0005225D"/>
    <w:rsid w:val="0005349C"/>
    <w:rsid w:val="00056896"/>
    <w:rsid w:val="00091C9C"/>
    <w:rsid w:val="000A50FE"/>
    <w:rsid w:val="000C560C"/>
    <w:rsid w:val="000F1052"/>
    <w:rsid w:val="001227B9"/>
    <w:rsid w:val="001279DC"/>
    <w:rsid w:val="00132908"/>
    <w:rsid w:val="00144C35"/>
    <w:rsid w:val="00147FD8"/>
    <w:rsid w:val="0015218D"/>
    <w:rsid w:val="001534C0"/>
    <w:rsid w:val="00160D79"/>
    <w:rsid w:val="0016297D"/>
    <w:rsid w:val="00163BA7"/>
    <w:rsid w:val="00164D49"/>
    <w:rsid w:val="001755E6"/>
    <w:rsid w:val="00183699"/>
    <w:rsid w:val="00191B87"/>
    <w:rsid w:val="00194CC8"/>
    <w:rsid w:val="001E3911"/>
    <w:rsid w:val="001F4470"/>
    <w:rsid w:val="00222C9A"/>
    <w:rsid w:val="00231DA9"/>
    <w:rsid w:val="0023296E"/>
    <w:rsid w:val="00235825"/>
    <w:rsid w:val="0025172D"/>
    <w:rsid w:val="002739FB"/>
    <w:rsid w:val="002D0F7D"/>
    <w:rsid w:val="002D7FA3"/>
    <w:rsid w:val="002E369C"/>
    <w:rsid w:val="002E38C5"/>
    <w:rsid w:val="0030025B"/>
    <w:rsid w:val="003557EA"/>
    <w:rsid w:val="00364889"/>
    <w:rsid w:val="00366E9D"/>
    <w:rsid w:val="0037141E"/>
    <w:rsid w:val="0038077D"/>
    <w:rsid w:val="00397AB4"/>
    <w:rsid w:val="003A71E2"/>
    <w:rsid w:val="003B1538"/>
    <w:rsid w:val="003B201F"/>
    <w:rsid w:val="003C4726"/>
    <w:rsid w:val="003E10A6"/>
    <w:rsid w:val="003E371D"/>
    <w:rsid w:val="003E6210"/>
    <w:rsid w:val="003F2C5F"/>
    <w:rsid w:val="0043064C"/>
    <w:rsid w:val="00440DCF"/>
    <w:rsid w:val="004415A4"/>
    <w:rsid w:val="00456929"/>
    <w:rsid w:val="004662CF"/>
    <w:rsid w:val="004678D5"/>
    <w:rsid w:val="00485E88"/>
    <w:rsid w:val="00491E75"/>
    <w:rsid w:val="004A326F"/>
    <w:rsid w:val="004B0C85"/>
    <w:rsid w:val="004B5F5C"/>
    <w:rsid w:val="004B6A82"/>
    <w:rsid w:val="004B7DA4"/>
    <w:rsid w:val="004C056A"/>
    <w:rsid w:val="004C33F1"/>
    <w:rsid w:val="004C464A"/>
    <w:rsid w:val="004D0785"/>
    <w:rsid w:val="004E4609"/>
    <w:rsid w:val="00540C7C"/>
    <w:rsid w:val="00547CAB"/>
    <w:rsid w:val="00551FEF"/>
    <w:rsid w:val="00557602"/>
    <w:rsid w:val="005651C5"/>
    <w:rsid w:val="005753FD"/>
    <w:rsid w:val="005775C4"/>
    <w:rsid w:val="005A15D2"/>
    <w:rsid w:val="005B23E2"/>
    <w:rsid w:val="005C6603"/>
    <w:rsid w:val="005C709E"/>
    <w:rsid w:val="005F0E3E"/>
    <w:rsid w:val="005F2AC2"/>
    <w:rsid w:val="00603A76"/>
    <w:rsid w:val="00622648"/>
    <w:rsid w:val="0062385A"/>
    <w:rsid w:val="00632ABC"/>
    <w:rsid w:val="00642385"/>
    <w:rsid w:val="00654683"/>
    <w:rsid w:val="0065522B"/>
    <w:rsid w:val="00684579"/>
    <w:rsid w:val="006E0CCB"/>
    <w:rsid w:val="006E3E8E"/>
    <w:rsid w:val="006E4823"/>
    <w:rsid w:val="006F2995"/>
    <w:rsid w:val="00702109"/>
    <w:rsid w:val="0074170F"/>
    <w:rsid w:val="0078696F"/>
    <w:rsid w:val="00793539"/>
    <w:rsid w:val="007C697A"/>
    <w:rsid w:val="007D0954"/>
    <w:rsid w:val="007D1FB7"/>
    <w:rsid w:val="007E2421"/>
    <w:rsid w:val="007F2D35"/>
    <w:rsid w:val="007F453E"/>
    <w:rsid w:val="008066DB"/>
    <w:rsid w:val="0081263C"/>
    <w:rsid w:val="00831A99"/>
    <w:rsid w:val="00834D2B"/>
    <w:rsid w:val="00836471"/>
    <w:rsid w:val="008372F6"/>
    <w:rsid w:val="008376AD"/>
    <w:rsid w:val="0084583F"/>
    <w:rsid w:val="00873308"/>
    <w:rsid w:val="00873C67"/>
    <w:rsid w:val="00874FE8"/>
    <w:rsid w:val="00876187"/>
    <w:rsid w:val="00885602"/>
    <w:rsid w:val="00891332"/>
    <w:rsid w:val="00896A29"/>
    <w:rsid w:val="008A4C46"/>
    <w:rsid w:val="008B6029"/>
    <w:rsid w:val="008C2BF5"/>
    <w:rsid w:val="008F4277"/>
    <w:rsid w:val="008F5175"/>
    <w:rsid w:val="009226FC"/>
    <w:rsid w:val="00923121"/>
    <w:rsid w:val="00925124"/>
    <w:rsid w:val="00931D72"/>
    <w:rsid w:val="00937DED"/>
    <w:rsid w:val="00950F7D"/>
    <w:rsid w:val="009546C5"/>
    <w:rsid w:val="009626E7"/>
    <w:rsid w:val="009D1E9F"/>
    <w:rsid w:val="009D748D"/>
    <w:rsid w:val="009F0608"/>
    <w:rsid w:val="009F70F9"/>
    <w:rsid w:val="00A12ADF"/>
    <w:rsid w:val="00A215F0"/>
    <w:rsid w:val="00A2261B"/>
    <w:rsid w:val="00A246C1"/>
    <w:rsid w:val="00A25B63"/>
    <w:rsid w:val="00A413DC"/>
    <w:rsid w:val="00A462E2"/>
    <w:rsid w:val="00A50447"/>
    <w:rsid w:val="00A65105"/>
    <w:rsid w:val="00A656EA"/>
    <w:rsid w:val="00AB128B"/>
    <w:rsid w:val="00AC6CA7"/>
    <w:rsid w:val="00B047B9"/>
    <w:rsid w:val="00B10A0F"/>
    <w:rsid w:val="00B1731B"/>
    <w:rsid w:val="00B20B9C"/>
    <w:rsid w:val="00B438CB"/>
    <w:rsid w:val="00B45A63"/>
    <w:rsid w:val="00B7005B"/>
    <w:rsid w:val="00B7201E"/>
    <w:rsid w:val="00B82F29"/>
    <w:rsid w:val="00BD4DB7"/>
    <w:rsid w:val="00C04CC7"/>
    <w:rsid w:val="00C124F6"/>
    <w:rsid w:val="00C144F4"/>
    <w:rsid w:val="00C65D30"/>
    <w:rsid w:val="00C73C4C"/>
    <w:rsid w:val="00CA0292"/>
    <w:rsid w:val="00CA23C7"/>
    <w:rsid w:val="00CA48EC"/>
    <w:rsid w:val="00CA7C37"/>
    <w:rsid w:val="00CB4095"/>
    <w:rsid w:val="00CB5BF5"/>
    <w:rsid w:val="00CC0629"/>
    <w:rsid w:val="00CC21B7"/>
    <w:rsid w:val="00CE0E25"/>
    <w:rsid w:val="00CE3D3B"/>
    <w:rsid w:val="00CE5BE2"/>
    <w:rsid w:val="00CF24CA"/>
    <w:rsid w:val="00D17A25"/>
    <w:rsid w:val="00D217A6"/>
    <w:rsid w:val="00D37593"/>
    <w:rsid w:val="00D37B20"/>
    <w:rsid w:val="00D452DD"/>
    <w:rsid w:val="00D603A9"/>
    <w:rsid w:val="00D6589A"/>
    <w:rsid w:val="00D959D5"/>
    <w:rsid w:val="00DA0A2C"/>
    <w:rsid w:val="00DA1E09"/>
    <w:rsid w:val="00DB46A5"/>
    <w:rsid w:val="00DB6742"/>
    <w:rsid w:val="00DE406E"/>
    <w:rsid w:val="00E030C7"/>
    <w:rsid w:val="00E111A5"/>
    <w:rsid w:val="00E119DB"/>
    <w:rsid w:val="00E22E4C"/>
    <w:rsid w:val="00E45641"/>
    <w:rsid w:val="00E677F2"/>
    <w:rsid w:val="00E86328"/>
    <w:rsid w:val="00E92BF2"/>
    <w:rsid w:val="00EB29CA"/>
    <w:rsid w:val="00EB62E9"/>
    <w:rsid w:val="00ED14E4"/>
    <w:rsid w:val="00ED217D"/>
    <w:rsid w:val="00ED2492"/>
    <w:rsid w:val="00ED6FF7"/>
    <w:rsid w:val="00EF0B55"/>
    <w:rsid w:val="00EF4E2F"/>
    <w:rsid w:val="00F20668"/>
    <w:rsid w:val="00F228AE"/>
    <w:rsid w:val="00F33911"/>
    <w:rsid w:val="00F412CC"/>
    <w:rsid w:val="00F42CF1"/>
    <w:rsid w:val="00F442AC"/>
    <w:rsid w:val="00F47EB7"/>
    <w:rsid w:val="00F523FA"/>
    <w:rsid w:val="00F53AD0"/>
    <w:rsid w:val="00F55D26"/>
    <w:rsid w:val="00F57297"/>
    <w:rsid w:val="00F60D55"/>
    <w:rsid w:val="00F93B27"/>
    <w:rsid w:val="00FB387C"/>
    <w:rsid w:val="00FD126A"/>
    <w:rsid w:val="00FD1A10"/>
    <w:rsid w:val="00FE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B0A73"/>
  <w15:chartTrackingRefBased/>
  <w15:docId w15:val="{64D688A6-B721-4CAD-A67A-3E2D8DBA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5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E4823"/>
    <w:pPr>
      <w:spacing w:line="256" w:lineRule="auto"/>
      <w:ind w:left="720"/>
      <w:contextualSpacing/>
    </w:pPr>
    <w:rPr>
      <w:rFonts w:ascii="BundesSerif Office" w:hAnsi="BundesSerif Office"/>
      <w:lang w:val="de-DE"/>
    </w:rPr>
  </w:style>
  <w:style w:type="character" w:styleId="Hyperlink">
    <w:name w:val="Hyperlink"/>
    <w:basedOn w:val="Standaardalinea-lettertype"/>
    <w:uiPriority w:val="99"/>
    <w:unhideWhenUsed/>
    <w:rsid w:val="00654683"/>
    <w:rPr>
      <w:color w:val="0000FF"/>
      <w:u w:val="single"/>
    </w:rPr>
  </w:style>
  <w:style w:type="character" w:customStyle="1" w:styleId="element-invisible">
    <w:name w:val="element-invisible"/>
    <w:basedOn w:val="Standaardalinea-lettertype"/>
    <w:rsid w:val="00654683"/>
  </w:style>
  <w:style w:type="paragraph" w:styleId="Ballontekst">
    <w:name w:val="Balloon Text"/>
    <w:basedOn w:val="Standaard"/>
    <w:link w:val="BallontekstChar"/>
    <w:uiPriority w:val="99"/>
    <w:semiHidden/>
    <w:unhideWhenUsed/>
    <w:rsid w:val="00CC0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0629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E677F2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318F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318F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318F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318F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318FC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B12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0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amd-europe.eu/joint-action-projects/market-surveillance-of-medical-devices-jams/" TargetMode="External"/><Relationship Id="rId3" Type="http://schemas.openxmlformats.org/officeDocument/2006/relationships/styles" Target="styles.xml"/><Relationship Id="rId7" Type="http://schemas.openxmlformats.org/officeDocument/2006/relationships/hyperlink" Target="https://eur-lex.europa.eu/legal-content/EN/TXT/?uri=CELEX:32017R0746" TargetMode="External"/><Relationship Id="rId12" Type="http://schemas.openxmlformats.org/officeDocument/2006/relationships/hyperlink" Target="https://ec.europa.eu/growth/sectors/medical-devices/guidance_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eur-lex.europa.eu/legal-content/EN/TXT/?uri=CELEX:32017R0745" TargetMode="External"/><Relationship Id="rId11" Type="http://schemas.openxmlformats.org/officeDocument/2006/relationships/hyperlink" Target="https://www.fagg.be/sites/default/files/content/formulair_notification_nl_20180404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eur-lex.europa.eu/legal-content/EN/TXT/?uri=CELEX:32017R07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EN/TXT/?uri=CELEX:32017R0745" TargetMode="External"/><Relationship Id="rId14" Type="http://schemas.openxmlformats.org/officeDocument/2006/relationships/hyperlink" Target="https://www.camd-europe.eu/regulatory/available-now-mdr-ivdr-transitional-faq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C6CE4-7132-40A8-AACF-2260D30A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1695</Words>
  <Characters>9667</Characters>
  <Application>Microsoft Office Word</Application>
  <DocSecurity>0</DocSecurity>
  <Lines>80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AFMPS-FAGG</Company>
  <LinksUpToDate>false</LinksUpToDate>
  <CharactersWithSpaces>11340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Nys Valerie</dc:creator>
  <cp:keywords/>
  <dc:description/>
  <cp:lastModifiedBy>Van Driessche Orphee</cp:lastModifiedBy>
  <cp:revision>5</cp:revision>
  <cp:lastPrinted>2018-06-04T14:04:00Z</cp:lastPrinted>
  <dcterms:created xsi:type="dcterms:W3CDTF">2018-07-12T12:27:00Z</dcterms:created>
  <dcterms:modified xsi:type="dcterms:W3CDTF">2018-10-10T12:51:00Z</dcterms:modified>
</cp:coreProperties>
</file>